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4BFEE08" w14:textId="77777777" w:rsidR="009A6ECE" w:rsidRDefault="00EB405F">
      <w:pPr>
        <w:pStyle w:val="Ttulo2"/>
        <w:jc w:val="center"/>
        <w:rPr>
          <w:rFonts w:ascii="Arial" w:eastAsia="Arial" w:hAnsi="Arial" w:cs="Arial"/>
          <w:b/>
          <w:bCs/>
          <w:color w:val="000000"/>
          <w:sz w:val="22"/>
          <w:szCs w:val="22"/>
          <w:highlight w:val="white"/>
        </w:rPr>
      </w:pPr>
      <w:bookmarkStart w:id="0" w:name="_heading=h.63u9xzmkqzvs" w:colFirst="0" w:colLast="0"/>
      <w:bookmarkEnd w:id="0"/>
      <w:r>
        <w:rPr>
          <w:rFonts w:ascii="Arial" w:eastAsia="Arial" w:hAnsi="Arial" w:cs="Arial"/>
          <w:b/>
          <w:bCs/>
          <w:color w:val="000000"/>
          <w:sz w:val="22"/>
          <w:szCs w:val="22"/>
          <w:highlight w:val="white"/>
        </w:rPr>
        <w:t>LA DIRECCIÓN DE INVESTIGACIONES Y CONTROL DE VIVIENDA DE LA SUBSECRETARÍA DE INSPECCIÓN, VIGILANCIA Y CONTROL DE VIVIENDA DE LA SECRETARÍA DISTRITAL DEL HÁBITAT</w:t>
      </w:r>
    </w:p>
    <w:p w14:paraId="14BFEE09" w14:textId="77777777" w:rsidR="009A6ECE" w:rsidRDefault="009A6ECE">
      <w:pPr>
        <w:jc w:val="center"/>
        <w:rPr>
          <w:rFonts w:ascii="Arial" w:eastAsia="Arial" w:hAnsi="Arial" w:cs="Arial"/>
          <w:sz w:val="22"/>
          <w:szCs w:val="22"/>
          <w:highlight w:val="white"/>
        </w:rPr>
      </w:pPr>
      <w:bookmarkStart w:id="1" w:name="_heading=h.tziib8mju948" w:colFirst="0" w:colLast="0"/>
      <w:bookmarkEnd w:id="1"/>
    </w:p>
    <w:p w14:paraId="14BFEE0A" w14:textId="77777777" w:rsidR="009A6ECE" w:rsidRDefault="00EB405F">
      <w:pPr>
        <w:jc w:val="center"/>
        <w:rPr>
          <w:rFonts w:ascii="Arial" w:eastAsia="Arial" w:hAnsi="Arial" w:cs="Arial"/>
          <w:sz w:val="22"/>
          <w:szCs w:val="22"/>
          <w:highlight w:val="white"/>
        </w:rPr>
      </w:pPr>
      <w:r>
        <w:rPr>
          <w:rFonts w:ascii="Arial" w:eastAsia="Arial" w:hAnsi="Arial" w:cs="Arial"/>
          <w:sz w:val="22"/>
          <w:szCs w:val="22"/>
          <w:highlight w:val="white"/>
        </w:rPr>
        <w:t>En ejercicio de las atribuciones conferidas por la Ley 66 de 1968, los Decretos Ley 2610 de 1979, 078 de 1987, el Decreto Distrital 653 de 2025, los Acuerdos Distritales 079 de 2003 y 735 de 2019 y demás normas concordantes, y,</w:t>
      </w:r>
    </w:p>
    <w:p w14:paraId="14BFEE0B" w14:textId="77777777" w:rsidR="009A6ECE" w:rsidRDefault="009A6ECE">
      <w:pPr>
        <w:jc w:val="center"/>
        <w:rPr>
          <w:rFonts w:ascii="Arial" w:eastAsia="Arial" w:hAnsi="Arial" w:cs="Arial"/>
          <w:sz w:val="22"/>
          <w:szCs w:val="22"/>
          <w:highlight w:val="white"/>
        </w:rPr>
      </w:pPr>
    </w:p>
    <w:p w14:paraId="14BFEE0C" w14:textId="77777777" w:rsidR="009A6ECE" w:rsidRPr="001D25AC" w:rsidRDefault="00EB405F">
      <w:pPr>
        <w:jc w:val="center"/>
        <w:rPr>
          <w:rFonts w:ascii="Arial" w:eastAsia="Arial" w:hAnsi="Arial" w:cs="Arial"/>
          <w:b/>
          <w:bCs/>
          <w:sz w:val="22"/>
          <w:szCs w:val="22"/>
          <w:highlight w:val="white"/>
        </w:rPr>
      </w:pPr>
      <w:r w:rsidRPr="001D25AC">
        <w:rPr>
          <w:rFonts w:ascii="Arial" w:eastAsia="Arial" w:hAnsi="Arial" w:cs="Arial"/>
          <w:b/>
          <w:bCs/>
          <w:sz w:val="22"/>
          <w:szCs w:val="22"/>
          <w:highlight w:val="white"/>
        </w:rPr>
        <w:t>CONSIDERANDO:</w:t>
      </w:r>
    </w:p>
    <w:p w14:paraId="14BFEE0D" w14:textId="77777777" w:rsidR="009A6ECE" w:rsidRPr="001D25AC" w:rsidRDefault="009A6ECE">
      <w:pPr>
        <w:jc w:val="both"/>
        <w:rPr>
          <w:rFonts w:ascii="Arial" w:eastAsia="Arial" w:hAnsi="Arial" w:cs="Arial"/>
          <w:sz w:val="22"/>
          <w:szCs w:val="22"/>
        </w:rPr>
      </w:pPr>
      <w:bookmarkStart w:id="2" w:name="_heading=h.vmq5jlsylcjh" w:colFirst="0" w:colLast="0"/>
      <w:bookmarkEnd w:id="2"/>
    </w:p>
    <w:p w14:paraId="14BFEE0E" w14:textId="38A74D44" w:rsidR="009A6ECE" w:rsidRPr="001D25AC" w:rsidRDefault="00EB405F">
      <w:pPr>
        <w:widowControl w:val="0"/>
        <w:pBdr>
          <w:top w:val="nil"/>
          <w:left w:val="nil"/>
          <w:bottom w:val="nil"/>
          <w:right w:val="nil"/>
          <w:between w:val="nil"/>
        </w:pBdr>
        <w:jc w:val="both"/>
        <w:rPr>
          <w:rFonts w:ascii="Arial" w:eastAsia="Arial" w:hAnsi="Arial" w:cs="Arial"/>
          <w:color w:val="FF9900"/>
          <w:sz w:val="22"/>
          <w:szCs w:val="22"/>
        </w:rPr>
      </w:pPr>
      <w:r w:rsidRPr="001D25AC">
        <w:rPr>
          <w:rFonts w:ascii="Arial" w:hAnsi="Arial" w:cs="Arial"/>
          <w:sz w:val="22"/>
          <w:szCs w:val="22"/>
        </w:rPr>
        <w:t xml:space="preserve">Que la Dirección de Investigaciones y Control de Vivienda de la Subsecretaría de Inspección, Vigilancia y Control de Vivienda de la Secretaría Distrital del Hábitat, en virtud de su competencia y de conformidad con lo dispuesto en el parágrafo del artículo 1 del Decreto 572 de 2015 hoy artículo 111 del Decreto 653 de 2025, </w:t>
      </w:r>
      <w:commentRangeStart w:id="3"/>
      <w:r w:rsidRPr="001D25AC">
        <w:rPr>
          <w:rFonts w:ascii="Arial" w:hAnsi="Arial" w:cs="Arial"/>
          <w:sz w:val="22"/>
          <w:szCs w:val="22"/>
        </w:rPr>
        <w:t>conoció de la queja presentada por la señora MIRYAM PINEDA</w:t>
      </w:r>
      <w:commentRangeEnd w:id="3"/>
      <w:r w:rsidR="00581D52" w:rsidRPr="001D25AC">
        <w:rPr>
          <w:rStyle w:val="Refdecomentario"/>
          <w:rFonts w:ascii="Arial" w:hAnsi="Arial" w:cs="Arial"/>
          <w:sz w:val="22"/>
          <w:szCs w:val="22"/>
        </w:rPr>
        <w:commentReference w:id="3"/>
      </w:r>
      <w:r w:rsidRPr="001D25AC">
        <w:rPr>
          <w:rFonts w:ascii="Arial" w:hAnsi="Arial" w:cs="Arial"/>
          <w:sz w:val="22"/>
          <w:szCs w:val="22"/>
        </w:rPr>
        <w:t xml:space="preserve"> en calidad de copropietaria del proyecto de vivienda AGRUPACION RESIDENCIAL PRADERA SAN CARLOS - PROPIEDAD HORIZONTAL, ubicado en la carrera 141 No. 136 A - 75 Sur de Bogotá, por las presuntas irregularidades existentes en las zonas privadas del Apartamento 623 Torre 6 del inmueble en mención, contra la sociedad enajenadora </w:t>
      </w:r>
      <w:commentRangeStart w:id="4"/>
      <w:r w:rsidRPr="001D25AC">
        <w:rPr>
          <w:rFonts w:ascii="Arial" w:hAnsi="Arial" w:cs="Arial"/>
          <w:sz w:val="22"/>
          <w:szCs w:val="22"/>
        </w:rPr>
        <w:t>URBANIZADORA MARIN VALENCIA S.A.</w:t>
      </w:r>
      <w:commentRangeEnd w:id="4"/>
      <w:r w:rsidR="00581D52" w:rsidRPr="001D25AC">
        <w:rPr>
          <w:rStyle w:val="Refdecomentario"/>
          <w:rFonts w:ascii="Arial" w:hAnsi="Arial" w:cs="Arial"/>
          <w:sz w:val="22"/>
          <w:szCs w:val="22"/>
        </w:rPr>
        <w:commentReference w:id="4"/>
      </w:r>
      <w:r w:rsidRPr="001D25AC">
        <w:rPr>
          <w:rFonts w:ascii="Arial" w:hAnsi="Arial" w:cs="Arial"/>
          <w:sz w:val="22"/>
          <w:szCs w:val="22"/>
        </w:rPr>
        <w:t>, identificada con NIT. 830.012.053-3, representada legalmente por la señora RAFAEL AUGUSTO MARÍN VALENCIA (o quien haga sus veces), actuación a la que le correspondió el radicado 3-2017-23633-4.</w:t>
      </w:r>
    </w:p>
    <w:p w14:paraId="14BFEE0F" w14:textId="77777777" w:rsidR="009A6ECE" w:rsidRPr="001D25AC" w:rsidRDefault="009A6ECE">
      <w:pPr>
        <w:widowControl w:val="0"/>
        <w:pBdr>
          <w:top w:val="nil"/>
          <w:left w:val="nil"/>
          <w:bottom w:val="nil"/>
          <w:right w:val="nil"/>
          <w:between w:val="nil"/>
        </w:pBdr>
        <w:jc w:val="both"/>
        <w:rPr>
          <w:rFonts w:ascii="Arial" w:eastAsia="Arial" w:hAnsi="Arial" w:cs="Arial"/>
          <w:color w:val="000000" w:themeColor="text1"/>
          <w:sz w:val="22"/>
          <w:szCs w:val="22"/>
        </w:rPr>
      </w:pPr>
    </w:p>
    <w:p w14:paraId="14BFEE10" w14:textId="099701E5" w:rsidR="009A6ECE" w:rsidRPr="001D25AC" w:rsidRDefault="00EB405F">
      <w:pPr>
        <w:widowControl w:val="0"/>
        <w:pBdr>
          <w:top w:val="nil"/>
          <w:left w:val="nil"/>
          <w:bottom w:val="nil"/>
          <w:right w:val="nil"/>
          <w:between w:val="nil"/>
        </w:pBdr>
        <w:jc w:val="both"/>
        <w:rPr>
          <w:rFonts w:ascii="Arial" w:eastAsia="Arial" w:hAnsi="Arial" w:cs="Arial"/>
          <w:color w:val="000000" w:themeColor="text1"/>
          <w:sz w:val="22"/>
          <w:szCs w:val="22"/>
        </w:rPr>
      </w:pPr>
      <w:r w:rsidRPr="001D25AC">
        <w:rPr>
          <w:rFonts w:ascii="Arial" w:hAnsi="Arial" w:cs="Arial"/>
          <w:sz w:val="22"/>
          <w:szCs w:val="22"/>
        </w:rPr>
        <w:t xml:space="preserve">Que, una vez surtidas las actuaciones procesales pertinentes, esta Dirección, mediante Resolución No. 1800 del 09 de septiembre de 2019, "Por la cual se impone una sanción y se imparte una orden", multó a la sociedad enajenadora </w:t>
      </w:r>
      <w:commentRangeStart w:id="5"/>
      <w:r w:rsidRPr="001D25AC">
        <w:rPr>
          <w:rFonts w:ascii="Arial" w:hAnsi="Arial" w:cs="Arial"/>
          <w:sz w:val="22"/>
          <w:szCs w:val="22"/>
        </w:rPr>
        <w:t>URBANIZADORA MARIN VALENCIA S.A.</w:t>
      </w:r>
      <w:commentRangeEnd w:id="5"/>
      <w:r w:rsidR="00581D52" w:rsidRPr="001D25AC">
        <w:rPr>
          <w:rStyle w:val="Refdecomentario"/>
          <w:rFonts w:ascii="Arial" w:hAnsi="Arial" w:cs="Arial"/>
          <w:sz w:val="22"/>
          <w:szCs w:val="22"/>
        </w:rPr>
        <w:commentReference w:id="5"/>
      </w:r>
      <w:r w:rsidRPr="001D25AC">
        <w:rPr>
          <w:rFonts w:ascii="Arial" w:hAnsi="Arial" w:cs="Arial"/>
          <w:sz w:val="22"/>
          <w:szCs w:val="22"/>
        </w:rPr>
        <w:t xml:space="preserve">, identificada con NIT. 830.012.053-3, con la suma de </w:t>
      </w:r>
      <w:r w:rsidR="001D25AC">
        <w:rPr>
          <w:rFonts w:ascii="Arial" w:hAnsi="Arial" w:cs="Arial"/>
          <w:sz w:val="22"/>
          <w:szCs w:val="22"/>
        </w:rPr>
        <w:t xml:space="preserve">CUARENTA Y TRES MIL </w:t>
      </w:r>
      <w:r w:rsidRPr="001D25AC">
        <w:rPr>
          <w:rFonts w:ascii="Arial" w:hAnsi="Arial" w:cs="Arial"/>
          <w:sz w:val="22"/>
          <w:szCs w:val="22"/>
        </w:rPr>
        <w:t>PESOS ($43.000) M/CTE, que corresponden a</w:t>
      </w:r>
      <w:r w:rsidR="00B10C4A">
        <w:rPr>
          <w:rFonts w:ascii="Arial" w:hAnsi="Arial" w:cs="Arial"/>
          <w:sz w:val="22"/>
          <w:szCs w:val="22"/>
        </w:rPr>
        <w:t xml:space="preserve"> </w:t>
      </w:r>
      <w:r w:rsidR="00F501E9">
        <w:rPr>
          <w:rFonts w:ascii="Arial" w:hAnsi="Arial" w:cs="Arial"/>
          <w:sz w:val="22"/>
          <w:szCs w:val="22"/>
        </w:rPr>
        <w:t xml:space="preserve">SEIS </w:t>
      </w:r>
      <w:r w:rsidR="00F501E9" w:rsidRPr="001D25AC">
        <w:rPr>
          <w:rFonts w:ascii="Arial" w:hAnsi="Arial" w:cs="Arial"/>
          <w:sz w:val="22"/>
          <w:szCs w:val="22"/>
        </w:rPr>
        <w:t>MILLONES</w:t>
      </w:r>
      <w:r w:rsidR="00B10C4A">
        <w:rPr>
          <w:rFonts w:ascii="Arial" w:hAnsi="Arial" w:cs="Arial"/>
          <w:sz w:val="22"/>
          <w:szCs w:val="22"/>
        </w:rPr>
        <w:t xml:space="preserve"> CUATROCIENTOS </w:t>
      </w:r>
      <w:r w:rsidRPr="001D25AC">
        <w:rPr>
          <w:rFonts w:ascii="Arial" w:hAnsi="Arial" w:cs="Arial"/>
          <w:sz w:val="22"/>
          <w:szCs w:val="22"/>
        </w:rPr>
        <w:t xml:space="preserve">CUARENTA Y </w:t>
      </w:r>
      <w:r w:rsidR="00B10C4A">
        <w:rPr>
          <w:rFonts w:ascii="Arial" w:hAnsi="Arial" w:cs="Arial"/>
          <w:sz w:val="22"/>
          <w:szCs w:val="22"/>
        </w:rPr>
        <w:t>CINCO</w:t>
      </w:r>
      <w:r w:rsidRPr="001D25AC">
        <w:rPr>
          <w:rFonts w:ascii="Arial" w:hAnsi="Arial" w:cs="Arial"/>
          <w:sz w:val="22"/>
          <w:szCs w:val="22"/>
        </w:rPr>
        <w:t xml:space="preserve"> MIL NOVECIENTOS TRE</w:t>
      </w:r>
      <w:r w:rsidR="00B10C4A">
        <w:rPr>
          <w:rFonts w:ascii="Arial" w:hAnsi="Arial" w:cs="Arial"/>
          <w:sz w:val="22"/>
          <w:szCs w:val="22"/>
        </w:rPr>
        <w:t>INTA</w:t>
      </w:r>
      <w:r w:rsidRPr="001D25AC">
        <w:rPr>
          <w:rFonts w:ascii="Arial" w:hAnsi="Arial" w:cs="Arial"/>
          <w:sz w:val="22"/>
          <w:szCs w:val="22"/>
        </w:rPr>
        <w:t xml:space="preserve"> PESOS ($6.445.930) M/CTE.</w:t>
      </w:r>
    </w:p>
    <w:p w14:paraId="14BFEE11" w14:textId="77777777" w:rsidR="009A6ECE" w:rsidRPr="001D25AC" w:rsidRDefault="009A6ECE">
      <w:pPr>
        <w:widowControl w:val="0"/>
        <w:pBdr>
          <w:top w:val="nil"/>
          <w:left w:val="nil"/>
          <w:bottom w:val="nil"/>
          <w:right w:val="nil"/>
          <w:between w:val="nil"/>
        </w:pBdr>
        <w:jc w:val="both"/>
        <w:rPr>
          <w:rFonts w:ascii="Arial" w:eastAsia="Arial" w:hAnsi="Arial" w:cs="Arial"/>
          <w:color w:val="000000" w:themeColor="text1"/>
          <w:sz w:val="22"/>
          <w:szCs w:val="22"/>
        </w:rPr>
      </w:pPr>
      <w:bookmarkStart w:id="6" w:name="_heading=h.1jd80eymxi61" w:colFirst="0" w:colLast="0"/>
      <w:bookmarkEnd w:id="6"/>
    </w:p>
    <w:p w14:paraId="14BFEE12" w14:textId="77777777" w:rsidR="009A6ECE" w:rsidRPr="001D25AC" w:rsidRDefault="00EB405F">
      <w:pPr>
        <w:widowControl w:val="0"/>
        <w:pBdr>
          <w:top w:val="nil"/>
          <w:left w:val="nil"/>
          <w:bottom w:val="nil"/>
          <w:right w:val="nil"/>
          <w:between w:val="nil"/>
        </w:pBdr>
        <w:jc w:val="both"/>
        <w:rPr>
          <w:rFonts w:ascii="Arial" w:eastAsia="Arial" w:hAnsi="Arial" w:cs="Arial"/>
          <w:color w:val="000000" w:themeColor="text1"/>
          <w:sz w:val="22"/>
          <w:szCs w:val="22"/>
        </w:rPr>
      </w:pPr>
      <w:bookmarkStart w:id="7" w:name="_heading=h.4m4q6b1tjgvg" w:colFirst="0" w:colLast="0"/>
      <w:bookmarkEnd w:id="7"/>
      <w:r w:rsidRPr="001D25AC">
        <w:rPr>
          <w:rFonts w:ascii="Arial" w:eastAsia="Arial" w:hAnsi="Arial" w:cs="Arial"/>
          <w:color w:val="000000" w:themeColor="text1"/>
          <w:sz w:val="22"/>
          <w:szCs w:val="22"/>
        </w:rPr>
        <w:t xml:space="preserve">Que, en los artículos segundo, tercero y cuarto de la Resolución No. </w:t>
      </w:r>
      <w:commentRangeStart w:id="8"/>
      <w:r w:rsidRPr="001D25AC">
        <w:rPr>
          <w:rFonts w:ascii="Arial" w:eastAsia="Arial" w:hAnsi="Arial" w:cs="Arial"/>
          <w:color w:val="000000" w:themeColor="text1"/>
          <w:sz w:val="22"/>
          <w:szCs w:val="22"/>
        </w:rPr>
        <w:t>128 de 22 de febrero de 2022</w:t>
      </w:r>
      <w:commentRangeEnd w:id="8"/>
      <w:r w:rsidR="00581D52" w:rsidRPr="001D25AC">
        <w:rPr>
          <w:rStyle w:val="Refdecomentario"/>
          <w:rFonts w:ascii="Arial" w:eastAsia="Arial" w:hAnsi="Arial" w:cs="Arial"/>
          <w:color w:val="000000" w:themeColor="text1"/>
          <w:sz w:val="22"/>
          <w:szCs w:val="22"/>
        </w:rPr>
        <w:commentReference w:id="8"/>
      </w:r>
      <w:r w:rsidRPr="001D25AC">
        <w:rPr>
          <w:rFonts w:ascii="Arial" w:eastAsia="Arial" w:hAnsi="Arial" w:cs="Arial"/>
          <w:color w:val="000000" w:themeColor="text1"/>
          <w:sz w:val="22"/>
          <w:szCs w:val="22"/>
        </w:rPr>
        <w:t>, “</w:t>
      </w:r>
      <w:r w:rsidRPr="001D25AC">
        <w:rPr>
          <w:rFonts w:ascii="Arial" w:eastAsia="Arial" w:hAnsi="Arial" w:cs="Arial"/>
          <w:i/>
          <w:iCs/>
          <w:color w:val="000000" w:themeColor="text1"/>
          <w:sz w:val="22"/>
          <w:szCs w:val="22"/>
        </w:rPr>
        <w:t>Por la cual se impone una sanción y se imparte una orden</w:t>
      </w:r>
      <w:r w:rsidRPr="001D25AC">
        <w:rPr>
          <w:rFonts w:ascii="Arial" w:eastAsia="Arial" w:hAnsi="Arial" w:cs="Arial"/>
          <w:color w:val="000000" w:themeColor="text1"/>
          <w:sz w:val="22"/>
          <w:szCs w:val="22"/>
        </w:rPr>
        <w:t xml:space="preserve">”, se estableció: </w:t>
      </w:r>
    </w:p>
    <w:p w14:paraId="14BFEE13" w14:textId="77777777" w:rsidR="009A6ECE" w:rsidRPr="001D25AC" w:rsidRDefault="009A6ECE">
      <w:pPr>
        <w:ind w:right="680"/>
        <w:jc w:val="both"/>
        <w:rPr>
          <w:rFonts w:ascii="Arial" w:eastAsia="Arial" w:hAnsi="Arial" w:cs="Arial"/>
          <w:i/>
          <w:iCs/>
          <w:color w:val="000000" w:themeColor="text1"/>
          <w:sz w:val="22"/>
          <w:szCs w:val="22"/>
        </w:rPr>
      </w:pPr>
    </w:p>
    <w:p w14:paraId="0B780F3E" w14:textId="2BB2CBB6" w:rsidR="00FB66DE" w:rsidRPr="00FB66DE" w:rsidRDefault="00FB66DE" w:rsidP="00FB66DE">
      <w:pPr>
        <w:shd w:val="clear" w:color="auto" w:fill="FFFFFF"/>
        <w:ind w:left="720"/>
        <w:jc w:val="both"/>
        <w:outlineLvl w:val="2"/>
        <w:rPr>
          <w:rFonts w:ascii="Arial" w:hAnsi="Arial" w:cs="Arial"/>
          <w:b/>
          <w:bCs/>
          <w:i/>
          <w:iCs/>
          <w:color w:val="0D0D0D"/>
          <w:sz w:val="22"/>
          <w:szCs w:val="22"/>
          <w:lang w:val="es-CO"/>
        </w:rPr>
      </w:pPr>
      <w:r w:rsidRPr="00FB66DE">
        <w:rPr>
          <w:rFonts w:ascii="Arial" w:hAnsi="Arial" w:cs="Arial"/>
          <w:b/>
          <w:bCs/>
          <w:i/>
          <w:iCs/>
          <w:color w:val="0D0D0D"/>
          <w:sz w:val="22"/>
          <w:szCs w:val="22"/>
          <w:lang w:val="es-CO"/>
        </w:rPr>
        <w:t>ARTÍCULO SEGUNDO</w:t>
      </w:r>
      <w:r>
        <w:rPr>
          <w:rFonts w:ascii="Arial" w:hAnsi="Arial" w:cs="Arial"/>
          <w:b/>
          <w:bCs/>
          <w:i/>
          <w:iCs/>
          <w:color w:val="0D0D0D"/>
          <w:sz w:val="22"/>
          <w:szCs w:val="22"/>
          <w:lang w:val="es-CO"/>
        </w:rPr>
        <w:t>:</w:t>
      </w:r>
      <w:r w:rsidRPr="00FB66DE">
        <w:rPr>
          <w:rFonts w:ascii="Arial" w:hAnsi="Arial" w:cs="Arial"/>
          <w:i/>
          <w:iCs/>
          <w:color w:val="0D0D0D"/>
          <w:sz w:val="22"/>
          <w:szCs w:val="22"/>
          <w:lang w:val="es-CO"/>
        </w:rPr>
        <w:t xml:space="preserve"> Requerir a la sociedad URBANIZADORA MARÍN VALENCIA S.A., con NIT 830.012.053-3, representada legalmente por el señor RAFAEL AUGUSTO MARÍN VALENCIA (o quien haga sus veces), para que dentro del término de cuatro (4) meses calendario siguientes a la ejecutoria del presente Acto Administrativo, se acoja a la normatividad infringida, para lo cual deberá realizar los trabajos tendientes a solucionar en forma definitiva los </w:t>
      </w:r>
      <w:r w:rsidR="00F501E9" w:rsidRPr="00FB66DE">
        <w:rPr>
          <w:rFonts w:ascii="Arial" w:hAnsi="Arial" w:cs="Arial"/>
          <w:i/>
          <w:iCs/>
          <w:color w:val="0D0D0D"/>
          <w:sz w:val="22"/>
          <w:szCs w:val="22"/>
          <w:lang w:val="es-CO"/>
        </w:rPr>
        <w:t>hechos: “</w:t>
      </w:r>
      <w:r w:rsidRPr="00FB66DE">
        <w:rPr>
          <w:rFonts w:ascii="Arial" w:hAnsi="Arial" w:cs="Arial"/>
          <w:i/>
          <w:iCs/>
          <w:color w:val="0D0D0D"/>
          <w:sz w:val="22"/>
          <w:szCs w:val="22"/>
          <w:lang w:val="es-CO"/>
        </w:rPr>
        <w:t xml:space="preserve">1. Fisuras y humedades en el apartamento, puerta alcoba principal desplomada, techo inclinado contra muro de sala y dilatado en puerta de alcoba principal, filtraciones por cubierta en la sala y mueble bajo de cocina dilatado del </w:t>
      </w:r>
      <w:r w:rsidR="00F501E9" w:rsidRPr="00FB66DE">
        <w:rPr>
          <w:rFonts w:ascii="Arial" w:hAnsi="Arial" w:cs="Arial"/>
          <w:i/>
          <w:iCs/>
          <w:color w:val="0D0D0D"/>
          <w:sz w:val="22"/>
          <w:szCs w:val="22"/>
          <w:lang w:val="es-CO"/>
        </w:rPr>
        <w:t>muro “que</w:t>
      </w:r>
      <w:r w:rsidRPr="00FB66DE">
        <w:rPr>
          <w:rFonts w:ascii="Arial" w:hAnsi="Arial" w:cs="Arial"/>
          <w:i/>
          <w:iCs/>
          <w:color w:val="0D0D0D"/>
          <w:sz w:val="22"/>
          <w:szCs w:val="22"/>
          <w:lang w:val="es-CO"/>
        </w:rPr>
        <w:t xml:space="preserve"> afectan las áreas privadas del apartamento 623 de la Torre 6 del proyecto de vivienda </w:t>
      </w:r>
      <w:r w:rsidRPr="00FB66DE">
        <w:rPr>
          <w:rFonts w:ascii="Arial" w:hAnsi="Arial" w:cs="Arial"/>
          <w:i/>
          <w:iCs/>
          <w:color w:val="0D0D0D"/>
          <w:sz w:val="22"/>
          <w:szCs w:val="22"/>
          <w:lang w:val="es-CO"/>
        </w:rPr>
        <w:lastRenderedPageBreak/>
        <w:t>AGRUPACIÓN RESIDENCIAL PRADERA SAN CARLOS, especificado en los Informe de Verificación de Hechos No. 17-484 del 30 de junio del 2017 (folios 23 a 25), y el concepto técnico 19-814 del 14 de agosto del 2019 (folio 172), producto de la visita realizada el 19 de abril del 2017 (folios 6). Ello en el evento que dichos hechos no se hayan intervenido al momento de la expedición de la presente Resolución.</w:t>
      </w:r>
    </w:p>
    <w:p w14:paraId="3B8BB8E8" w14:textId="77777777" w:rsidR="00FB66DE" w:rsidRDefault="00FB66DE" w:rsidP="00FB66DE">
      <w:pPr>
        <w:shd w:val="clear" w:color="auto" w:fill="FFFFFF"/>
        <w:ind w:left="720"/>
        <w:jc w:val="both"/>
        <w:outlineLvl w:val="2"/>
        <w:rPr>
          <w:rFonts w:ascii="Arial" w:hAnsi="Arial" w:cs="Arial"/>
          <w:b/>
          <w:bCs/>
          <w:i/>
          <w:iCs/>
          <w:color w:val="0D0D0D"/>
          <w:sz w:val="22"/>
          <w:szCs w:val="22"/>
          <w:lang w:val="es-CO"/>
        </w:rPr>
      </w:pPr>
    </w:p>
    <w:p w14:paraId="10242F83" w14:textId="77777777" w:rsidR="00F501E9" w:rsidRDefault="00FB66DE" w:rsidP="00F501E9">
      <w:pPr>
        <w:shd w:val="clear" w:color="auto" w:fill="FFFFFF"/>
        <w:ind w:left="720"/>
        <w:jc w:val="both"/>
        <w:outlineLvl w:val="2"/>
        <w:rPr>
          <w:rFonts w:ascii="Arial" w:hAnsi="Arial" w:cs="Arial"/>
          <w:b/>
          <w:bCs/>
          <w:i/>
          <w:iCs/>
          <w:color w:val="0D0D0D"/>
          <w:sz w:val="22"/>
          <w:szCs w:val="22"/>
          <w:lang w:val="es-CO"/>
        </w:rPr>
      </w:pPr>
      <w:r w:rsidRPr="00FB66DE">
        <w:rPr>
          <w:rFonts w:ascii="Arial" w:hAnsi="Arial" w:cs="Arial"/>
          <w:b/>
          <w:bCs/>
          <w:i/>
          <w:iCs/>
          <w:color w:val="0D0D0D"/>
          <w:sz w:val="22"/>
          <w:szCs w:val="22"/>
          <w:lang w:val="es-CO"/>
        </w:rPr>
        <w:t>ARTÍCULO TERCERO</w:t>
      </w:r>
      <w:r>
        <w:rPr>
          <w:rFonts w:ascii="Arial" w:hAnsi="Arial" w:cs="Arial"/>
          <w:b/>
          <w:bCs/>
          <w:i/>
          <w:iCs/>
          <w:color w:val="0D0D0D"/>
          <w:sz w:val="22"/>
          <w:szCs w:val="22"/>
          <w:lang w:val="es-CO"/>
        </w:rPr>
        <w:t>:</w:t>
      </w:r>
      <w:r w:rsidRPr="00FB66DE">
        <w:rPr>
          <w:rFonts w:ascii="Arial" w:hAnsi="Arial" w:cs="Arial"/>
          <w:i/>
          <w:iCs/>
          <w:color w:val="0D0D0D"/>
          <w:sz w:val="22"/>
          <w:szCs w:val="22"/>
          <w:lang w:val="es-CO"/>
        </w:rPr>
        <w:t xml:space="preserve"> Ordenar a la sociedad URBANIZADORA MARÍN VALENCIA S.A., con NIT 830.012.053-3, representada legalmente por el señor RAFAEL AUGUSTO MARÍN VALENCIA (o quien haga sus veces), para que dentro de los diez (10) días (hábiles) siguientes al cumplimiento del término otorgado en el artículo anterior, acredite ante este Despacho la realización de las labores de corrección sobre el citado hecho.</w:t>
      </w:r>
    </w:p>
    <w:p w14:paraId="35FB4C2F" w14:textId="77777777" w:rsidR="00F501E9" w:rsidRPr="00F501E9" w:rsidRDefault="00F501E9" w:rsidP="00F501E9">
      <w:pPr>
        <w:shd w:val="clear" w:color="auto" w:fill="FFFFFF"/>
        <w:ind w:left="720"/>
        <w:jc w:val="both"/>
        <w:outlineLvl w:val="2"/>
      </w:pPr>
    </w:p>
    <w:p w14:paraId="2118EEDB" w14:textId="573F6465" w:rsidR="00FB66DE" w:rsidRPr="00FB66DE" w:rsidRDefault="00FB66DE" w:rsidP="00F501E9">
      <w:pPr>
        <w:shd w:val="clear" w:color="auto" w:fill="FFFFFF"/>
        <w:ind w:left="720"/>
        <w:jc w:val="both"/>
        <w:outlineLvl w:val="2"/>
        <w:rPr>
          <w:rFonts w:ascii="Arial" w:hAnsi="Arial" w:cs="Arial"/>
          <w:b/>
          <w:bCs/>
          <w:i/>
          <w:iCs/>
          <w:color w:val="0D0D0D"/>
          <w:sz w:val="22"/>
          <w:szCs w:val="22"/>
          <w:lang w:val="es-CO"/>
        </w:rPr>
      </w:pPr>
      <w:r w:rsidRPr="00FB66DE">
        <w:rPr>
          <w:rFonts w:ascii="Arial" w:hAnsi="Arial" w:cs="Arial"/>
          <w:b/>
          <w:bCs/>
          <w:i/>
          <w:iCs/>
          <w:color w:val="0D0D0D"/>
          <w:sz w:val="22"/>
          <w:szCs w:val="22"/>
          <w:lang w:val="es-CO"/>
        </w:rPr>
        <w:t>ARTÍCULO CUARTO</w:t>
      </w:r>
      <w:r>
        <w:rPr>
          <w:rFonts w:ascii="Arial" w:hAnsi="Arial" w:cs="Arial"/>
          <w:b/>
          <w:bCs/>
          <w:i/>
          <w:iCs/>
          <w:color w:val="0D0D0D"/>
          <w:sz w:val="22"/>
          <w:szCs w:val="22"/>
          <w:lang w:val="es-CO"/>
        </w:rPr>
        <w:t>:</w:t>
      </w:r>
      <w:r w:rsidRPr="00FB66DE">
        <w:rPr>
          <w:rFonts w:ascii="Arial" w:hAnsi="Arial" w:cs="Arial"/>
          <w:i/>
          <w:iCs/>
          <w:color w:val="0D0D0D"/>
          <w:sz w:val="22"/>
          <w:szCs w:val="22"/>
          <w:lang w:val="es-CO"/>
        </w:rPr>
        <w:t xml:space="preserve"> El incumplimiento al requerimiento formulado en el artículo segundo, salvo que el quejoso o interesados impidan la realización de las obras ordenadas, situación que deberá poner en conocimiento inmediato a la Subdirección de Investigaciones y Control de Vivienda, dará lugar a la imposición de sanción, consistente en multa de entre $10.000 a $500.000 pesos, que serán indexados en el tiempo en que se verifique el incumplimiento, por cada seis (6) meses (calendario) de retardo al vencimiento de la fecha establecida para el efecto, de conformidad con lo dispuesto en el inciso segundo numeral 9 del artículo 2° del Decreto Ley 078 de 1987.</w:t>
      </w:r>
    </w:p>
    <w:p w14:paraId="14BFEE1B" w14:textId="77777777" w:rsidR="009A6ECE" w:rsidRPr="001D25AC" w:rsidRDefault="009A6ECE">
      <w:pPr>
        <w:ind w:right="-92"/>
        <w:jc w:val="both"/>
        <w:rPr>
          <w:rFonts w:ascii="Arial" w:eastAsia="Arial" w:hAnsi="Arial" w:cs="Arial"/>
          <w:i/>
          <w:iCs/>
          <w:color w:val="FF0000"/>
          <w:sz w:val="22"/>
          <w:szCs w:val="22"/>
        </w:rPr>
      </w:pPr>
    </w:p>
    <w:p w14:paraId="3610ABD0" w14:textId="77777777" w:rsidR="00581D52" w:rsidRDefault="00D72223" w:rsidP="00F55694">
      <w:pPr>
        <w:pStyle w:val="NormalWeb"/>
        <w:shd w:val="clear" w:color="auto" w:fill="FFFFFF"/>
        <w:spacing w:before="0" w:after="0"/>
        <w:jc w:val="both"/>
        <w:rPr>
          <w:rFonts w:ascii="Arial" w:hAnsi="Arial" w:cs="Arial"/>
          <w:color w:val="0D0D0D"/>
          <w:sz w:val="22"/>
          <w:szCs w:val="22"/>
        </w:rPr>
      </w:pPr>
      <w:r w:rsidRPr="00D72223">
        <w:rPr>
          <w:rFonts w:ascii="Arial" w:hAnsi="Arial" w:cs="Arial"/>
          <w:color w:val="0D0D0D"/>
          <w:sz w:val="22"/>
          <w:szCs w:val="22"/>
        </w:rPr>
        <w:t>La Subdirección de Investigaciones y Control de Vivienda de la Secretaría Distrital del Hábitat deja constancia de que la </w:t>
      </w:r>
      <w:r w:rsidRPr="00D72223">
        <w:rPr>
          <w:rStyle w:val="Fuerte"/>
          <w:rFonts w:ascii="Arial" w:hAnsi="Arial" w:cs="Arial"/>
          <w:color w:val="0D0D0D"/>
          <w:sz w:val="22"/>
          <w:szCs w:val="22"/>
        </w:rPr>
        <w:t>Resolución No. 1800 del 09 de septiembre de 2019</w:t>
      </w:r>
      <w:r w:rsidRPr="00D72223">
        <w:rPr>
          <w:rFonts w:ascii="Arial" w:hAnsi="Arial" w:cs="Arial"/>
          <w:color w:val="0D0D0D"/>
          <w:sz w:val="22"/>
          <w:szCs w:val="22"/>
        </w:rPr>
        <w:t xml:space="preserve">, mediante la cual se impuso una sanción y se impartió una orden a la sociedad </w:t>
      </w:r>
      <w:commentRangeStart w:id="9"/>
      <w:r w:rsidRPr="00D72223">
        <w:rPr>
          <w:rFonts w:ascii="Arial" w:hAnsi="Arial" w:cs="Arial"/>
          <w:color w:val="0D0D0D"/>
          <w:sz w:val="22"/>
          <w:szCs w:val="22"/>
        </w:rPr>
        <w:t>Urbanizadora Marín Valencia S.A.</w:t>
      </w:r>
      <w:commentRangeEnd w:id="9"/>
      <w:r w:rsidR="00581D52" w:rsidRPr="00D72223">
        <w:rPr>
          <w:rStyle w:val="Refdecomentario"/>
          <w:rFonts w:ascii="Arial" w:hAnsi="Arial" w:cs="Arial"/>
          <w:color w:val="0D0D0D"/>
          <w:sz w:val="22"/>
          <w:szCs w:val="22"/>
        </w:rPr>
        <w:commentReference w:id="9"/>
      </w:r>
      <w:r w:rsidRPr="00D72223">
        <w:rPr>
          <w:rFonts w:ascii="Arial" w:hAnsi="Arial" w:cs="Arial"/>
          <w:color w:val="0D0D0D"/>
          <w:sz w:val="22"/>
          <w:szCs w:val="22"/>
        </w:rPr>
        <w:t>, fue debidamente notificada. Contra dicho acto administrativo se interpusieron los recursos de ley:</w:t>
      </w:r>
      <w:r w:rsidRPr="00D72223">
        <w:rPr>
          <w:rStyle w:val="Fuerte"/>
          <w:rFonts w:ascii="Arial" w:hAnsi="Arial" w:cs="Arial"/>
          <w:color w:val="0D0D0D"/>
          <w:sz w:val="22"/>
          <w:szCs w:val="22"/>
        </w:rPr>
        <w:t xml:space="preserve"> Recurso de reposición</w:t>
      </w:r>
      <w:r w:rsidRPr="00D72223">
        <w:rPr>
          <w:rFonts w:ascii="Arial" w:hAnsi="Arial" w:cs="Arial"/>
          <w:color w:val="0D0D0D"/>
          <w:sz w:val="22"/>
          <w:szCs w:val="22"/>
        </w:rPr>
        <w:t>, resuelto mediante la Resolución No. 715 del 01 de octubre de 2020.</w:t>
      </w:r>
      <w:r w:rsidRPr="00D72223">
        <w:rPr>
          <w:rStyle w:val="Fuerte"/>
          <w:rFonts w:ascii="Arial" w:hAnsi="Arial" w:cs="Arial"/>
          <w:color w:val="0D0D0D"/>
          <w:sz w:val="22"/>
          <w:szCs w:val="22"/>
        </w:rPr>
        <w:t>Recurso de apelación</w:t>
      </w:r>
      <w:r w:rsidRPr="00D72223">
        <w:rPr>
          <w:rFonts w:ascii="Arial" w:hAnsi="Arial" w:cs="Arial"/>
          <w:color w:val="0D0D0D"/>
          <w:sz w:val="22"/>
          <w:szCs w:val="22"/>
        </w:rPr>
        <w:t xml:space="preserve">, resuelto mediante la Resolución No. 129 del 18 de marzo de 2021.Ambos actos fueron notificados en debida forma. </w:t>
      </w:r>
    </w:p>
    <w:p w14:paraId="14BFEE21" w14:textId="3121994E" w:rsidR="009A6ECE" w:rsidRPr="00F55694" w:rsidRDefault="00D72223" w:rsidP="00F55694">
      <w:pPr>
        <w:pStyle w:val="NormalWeb"/>
        <w:shd w:val="clear" w:color="auto" w:fill="FFFFFF"/>
        <w:spacing w:before="0" w:after="0"/>
        <w:jc w:val="both"/>
        <w:rPr>
          <w:rFonts w:ascii="Arial" w:hAnsi="Arial" w:cs="Arial"/>
          <w:color w:val="0D0D0D"/>
          <w:sz w:val="22"/>
          <w:szCs w:val="22"/>
        </w:rPr>
      </w:pPr>
      <w:r w:rsidRPr="00D72223">
        <w:rPr>
          <w:rFonts w:ascii="Arial" w:hAnsi="Arial" w:cs="Arial"/>
          <w:color w:val="0D0D0D"/>
          <w:sz w:val="22"/>
          <w:szCs w:val="22"/>
        </w:rPr>
        <w:t>En consecuencia, al haberse agotado los recursos en sede administrativa, se deja constancia de que la Resolución No. 1800 de 2019 </w:t>
      </w:r>
      <w:r w:rsidRPr="00D72223">
        <w:rPr>
          <w:rStyle w:val="Fuerte"/>
          <w:rFonts w:ascii="Arial" w:hAnsi="Arial" w:cs="Arial"/>
          <w:color w:val="0D0D0D"/>
          <w:sz w:val="22"/>
          <w:szCs w:val="22"/>
        </w:rPr>
        <w:t>quedó ejecutoriada el día 24 de marzo de 2021</w:t>
      </w:r>
      <w:r w:rsidRPr="00D72223">
        <w:rPr>
          <w:rFonts w:ascii="Arial" w:hAnsi="Arial" w:cs="Arial"/>
          <w:color w:val="0D0D0D"/>
          <w:sz w:val="22"/>
          <w:szCs w:val="22"/>
        </w:rPr>
        <w:t>.</w:t>
      </w:r>
    </w:p>
    <w:p w14:paraId="14BFEE22" w14:textId="771D1F08" w:rsidR="009A6ECE" w:rsidRPr="001D25AC" w:rsidRDefault="00EB405F">
      <w:pPr>
        <w:ind w:right="-92"/>
        <w:jc w:val="both"/>
        <w:rPr>
          <w:rFonts w:ascii="Arial" w:eastAsia="Arial" w:hAnsi="Arial" w:cs="Arial"/>
          <w:color w:val="000000" w:themeColor="text1"/>
          <w:sz w:val="22"/>
          <w:szCs w:val="22"/>
        </w:rPr>
      </w:pPr>
      <w:r w:rsidRPr="001D25AC">
        <w:rPr>
          <w:rFonts w:ascii="Arial" w:eastAsia="Arial" w:hAnsi="Arial" w:cs="Arial"/>
          <w:color w:val="000000" w:themeColor="text1"/>
          <w:sz w:val="22"/>
          <w:szCs w:val="22"/>
        </w:rPr>
        <w:t xml:space="preserve">Que, en </w:t>
      </w:r>
      <w:r w:rsidR="0059672A" w:rsidRPr="001D25AC">
        <w:rPr>
          <w:rFonts w:ascii="Arial" w:eastAsia="Arial" w:hAnsi="Arial" w:cs="Arial"/>
          <w:color w:val="000000" w:themeColor="text1"/>
          <w:sz w:val="22"/>
          <w:szCs w:val="22"/>
        </w:rPr>
        <w:t xml:space="preserve">cumplimiento de las funciones de seguimiento, este Despacho </w:t>
      </w:r>
      <w:r w:rsidRPr="001D25AC">
        <w:rPr>
          <w:rFonts w:ascii="Arial" w:eastAsia="Arial" w:hAnsi="Arial" w:cs="Arial"/>
          <w:color w:val="000000" w:themeColor="text1"/>
          <w:sz w:val="22"/>
          <w:szCs w:val="22"/>
        </w:rPr>
        <w:t>mediante radicado 2-202</w:t>
      </w:r>
      <w:r w:rsidR="00F55694">
        <w:rPr>
          <w:rFonts w:ascii="Arial" w:eastAsia="Arial" w:hAnsi="Arial" w:cs="Arial"/>
          <w:color w:val="000000" w:themeColor="text1"/>
          <w:sz w:val="22"/>
          <w:szCs w:val="22"/>
        </w:rPr>
        <w:t>2</w:t>
      </w:r>
      <w:r w:rsidRPr="001D25AC">
        <w:rPr>
          <w:rFonts w:ascii="Arial" w:eastAsia="Arial" w:hAnsi="Arial" w:cs="Arial"/>
          <w:color w:val="000000" w:themeColor="text1"/>
          <w:sz w:val="22"/>
          <w:szCs w:val="22"/>
        </w:rPr>
        <w:t>-</w:t>
      </w:r>
      <w:r w:rsidR="00F55694">
        <w:rPr>
          <w:rFonts w:ascii="Arial" w:eastAsia="Arial" w:hAnsi="Arial" w:cs="Arial"/>
          <w:color w:val="000000" w:themeColor="text1"/>
          <w:sz w:val="22"/>
          <w:szCs w:val="22"/>
        </w:rPr>
        <w:t>5795</w:t>
      </w:r>
      <w:r w:rsidRPr="001D25AC">
        <w:rPr>
          <w:rFonts w:ascii="Arial" w:eastAsia="Arial" w:hAnsi="Arial" w:cs="Arial"/>
          <w:color w:val="000000" w:themeColor="text1"/>
          <w:sz w:val="22"/>
          <w:szCs w:val="22"/>
        </w:rPr>
        <w:t xml:space="preserve"> y 2-202</w:t>
      </w:r>
      <w:r w:rsidR="00F55694">
        <w:rPr>
          <w:rFonts w:ascii="Arial" w:eastAsia="Arial" w:hAnsi="Arial" w:cs="Arial"/>
          <w:color w:val="000000" w:themeColor="text1"/>
          <w:sz w:val="22"/>
          <w:szCs w:val="22"/>
        </w:rPr>
        <w:t>2</w:t>
      </w:r>
      <w:r w:rsidRPr="001D25AC">
        <w:rPr>
          <w:rFonts w:ascii="Arial" w:eastAsia="Arial" w:hAnsi="Arial" w:cs="Arial"/>
          <w:color w:val="000000" w:themeColor="text1"/>
          <w:sz w:val="22"/>
          <w:szCs w:val="22"/>
        </w:rPr>
        <w:t>-</w:t>
      </w:r>
      <w:r w:rsidR="00F55694">
        <w:rPr>
          <w:rFonts w:ascii="Arial" w:eastAsia="Arial" w:hAnsi="Arial" w:cs="Arial"/>
          <w:color w:val="000000" w:themeColor="text1"/>
          <w:sz w:val="22"/>
          <w:szCs w:val="22"/>
        </w:rPr>
        <w:t>5798</w:t>
      </w:r>
      <w:r w:rsidRPr="001D25AC">
        <w:rPr>
          <w:rFonts w:ascii="Arial" w:eastAsia="Arial" w:hAnsi="Arial" w:cs="Arial"/>
          <w:color w:val="000000" w:themeColor="text1"/>
          <w:sz w:val="22"/>
          <w:szCs w:val="22"/>
        </w:rPr>
        <w:t xml:space="preserve"> del </w:t>
      </w:r>
      <w:r w:rsidR="00F55694">
        <w:rPr>
          <w:rFonts w:ascii="Arial" w:eastAsia="Arial" w:hAnsi="Arial" w:cs="Arial"/>
          <w:color w:val="000000" w:themeColor="text1"/>
          <w:sz w:val="22"/>
          <w:szCs w:val="22"/>
        </w:rPr>
        <w:t>09</w:t>
      </w:r>
      <w:r w:rsidRPr="001D25AC">
        <w:rPr>
          <w:rFonts w:ascii="Arial" w:eastAsia="Arial" w:hAnsi="Arial" w:cs="Arial"/>
          <w:color w:val="000000" w:themeColor="text1"/>
          <w:sz w:val="22"/>
          <w:szCs w:val="22"/>
        </w:rPr>
        <w:t xml:space="preserve"> de </w:t>
      </w:r>
      <w:r w:rsidR="00F55694">
        <w:rPr>
          <w:rFonts w:ascii="Arial" w:eastAsia="Arial" w:hAnsi="Arial" w:cs="Arial"/>
          <w:color w:val="000000" w:themeColor="text1"/>
          <w:sz w:val="22"/>
          <w:szCs w:val="22"/>
        </w:rPr>
        <w:t>febrero</w:t>
      </w:r>
      <w:r w:rsidRPr="001D25AC">
        <w:rPr>
          <w:rFonts w:ascii="Arial" w:eastAsia="Arial" w:hAnsi="Arial" w:cs="Arial"/>
          <w:color w:val="000000" w:themeColor="text1"/>
          <w:sz w:val="22"/>
          <w:szCs w:val="22"/>
        </w:rPr>
        <w:t xml:space="preserve"> de 202</w:t>
      </w:r>
      <w:r w:rsidR="00F55694">
        <w:rPr>
          <w:rFonts w:ascii="Arial" w:eastAsia="Arial" w:hAnsi="Arial" w:cs="Arial"/>
          <w:color w:val="000000" w:themeColor="text1"/>
          <w:sz w:val="22"/>
          <w:szCs w:val="22"/>
        </w:rPr>
        <w:t>2</w:t>
      </w:r>
      <w:r w:rsidR="008E409A" w:rsidRPr="001D25AC">
        <w:rPr>
          <w:rFonts w:ascii="Arial" w:eastAsia="Arial" w:hAnsi="Arial" w:cs="Arial"/>
          <w:color w:val="000000" w:themeColor="text1"/>
          <w:sz w:val="22"/>
          <w:szCs w:val="22"/>
        </w:rPr>
        <w:t>, se</w:t>
      </w:r>
      <w:r w:rsidRPr="001D25AC">
        <w:rPr>
          <w:rFonts w:ascii="Arial" w:eastAsia="Arial" w:hAnsi="Arial" w:cs="Arial"/>
          <w:color w:val="000000" w:themeColor="text1"/>
          <w:sz w:val="22"/>
          <w:szCs w:val="22"/>
        </w:rPr>
        <w:t xml:space="preserve"> informó tanto a la parte quejosa como a la sociedad enajenadora, de la visita de carácter técnico que se llevaría a cabo el día 1</w:t>
      </w:r>
      <w:r w:rsidR="00F55694">
        <w:rPr>
          <w:rFonts w:ascii="Arial" w:eastAsia="Arial" w:hAnsi="Arial" w:cs="Arial"/>
          <w:color w:val="000000" w:themeColor="text1"/>
          <w:sz w:val="22"/>
          <w:szCs w:val="22"/>
        </w:rPr>
        <w:t>7</w:t>
      </w:r>
      <w:r w:rsidRPr="001D25AC">
        <w:rPr>
          <w:rFonts w:ascii="Arial" w:eastAsia="Arial" w:hAnsi="Arial" w:cs="Arial"/>
          <w:color w:val="000000" w:themeColor="text1"/>
          <w:sz w:val="22"/>
          <w:szCs w:val="22"/>
        </w:rPr>
        <w:t xml:space="preserve"> de </w:t>
      </w:r>
      <w:r w:rsidR="00F55694">
        <w:rPr>
          <w:rFonts w:ascii="Arial" w:eastAsia="Arial" w:hAnsi="Arial" w:cs="Arial"/>
          <w:color w:val="000000" w:themeColor="text1"/>
          <w:sz w:val="22"/>
          <w:szCs w:val="22"/>
        </w:rPr>
        <w:t>febrero</w:t>
      </w:r>
      <w:r w:rsidRPr="001D25AC">
        <w:rPr>
          <w:rFonts w:ascii="Arial" w:eastAsia="Arial" w:hAnsi="Arial" w:cs="Arial"/>
          <w:color w:val="000000" w:themeColor="text1"/>
          <w:sz w:val="22"/>
          <w:szCs w:val="22"/>
        </w:rPr>
        <w:t xml:space="preserve"> de 202</w:t>
      </w:r>
      <w:r w:rsidR="00F55694">
        <w:rPr>
          <w:rFonts w:ascii="Arial" w:eastAsia="Arial" w:hAnsi="Arial" w:cs="Arial"/>
          <w:color w:val="000000" w:themeColor="text1"/>
          <w:sz w:val="22"/>
          <w:szCs w:val="22"/>
        </w:rPr>
        <w:t>2</w:t>
      </w:r>
      <w:r w:rsidR="008E409A" w:rsidRPr="001D25AC">
        <w:rPr>
          <w:rFonts w:ascii="Arial" w:eastAsia="Arial" w:hAnsi="Arial" w:cs="Arial"/>
          <w:color w:val="000000" w:themeColor="text1"/>
          <w:sz w:val="22"/>
          <w:szCs w:val="22"/>
        </w:rPr>
        <w:t xml:space="preserve"> </w:t>
      </w:r>
      <w:r w:rsidRPr="001D25AC">
        <w:rPr>
          <w:rFonts w:ascii="Arial" w:eastAsia="Arial" w:hAnsi="Arial" w:cs="Arial"/>
          <w:color w:val="000000" w:themeColor="text1"/>
          <w:sz w:val="22"/>
          <w:szCs w:val="22"/>
        </w:rPr>
        <w:t>en el inmueble objeto de la queja.</w:t>
      </w:r>
    </w:p>
    <w:p w14:paraId="14BFEE23" w14:textId="77777777" w:rsidR="009A6ECE" w:rsidRPr="001D25AC" w:rsidRDefault="009A6ECE">
      <w:pPr>
        <w:ind w:right="-92"/>
        <w:jc w:val="both"/>
        <w:rPr>
          <w:rFonts w:ascii="Arial" w:eastAsia="Arial" w:hAnsi="Arial" w:cs="Arial"/>
          <w:color w:val="000000" w:themeColor="text1"/>
          <w:sz w:val="22"/>
          <w:szCs w:val="22"/>
        </w:rPr>
      </w:pPr>
    </w:p>
    <w:p w14:paraId="57B5B381" w14:textId="6CCECC8C" w:rsidR="001073D8" w:rsidRPr="00846414" w:rsidRDefault="001073D8" w:rsidP="00846414">
      <w:pPr>
        <w:pStyle w:val="NormalWeb"/>
        <w:shd w:val="clear" w:color="auto" w:fill="FFFFFF"/>
        <w:jc w:val="both"/>
        <w:rPr>
          <w:rFonts w:ascii="Arial" w:hAnsi="Arial" w:cs="Arial"/>
          <w:color w:val="0D0D0D"/>
          <w:sz w:val="22"/>
          <w:szCs w:val="22"/>
        </w:rPr>
      </w:pPr>
      <w:r w:rsidRPr="00BE6466">
        <w:rPr>
          <w:rFonts w:ascii="Arial" w:eastAsia="Arial" w:hAnsi="Arial" w:cs="Arial"/>
          <w:color w:val="000000" w:themeColor="text1"/>
          <w:sz w:val="22"/>
          <w:szCs w:val="22"/>
        </w:rPr>
        <w:lastRenderedPageBreak/>
        <w:t>Que,</w:t>
      </w:r>
      <w:r w:rsidR="00415AAD" w:rsidRPr="00BE6466">
        <w:rPr>
          <w:rFonts w:ascii="Arial" w:eastAsia="Arial" w:hAnsi="Arial" w:cs="Arial"/>
          <w:color w:val="000000" w:themeColor="text1"/>
          <w:sz w:val="22"/>
          <w:szCs w:val="22"/>
        </w:rPr>
        <w:t xml:space="preserve"> de la</w:t>
      </w:r>
      <w:r w:rsidR="00EB405F" w:rsidRPr="00BE6466">
        <w:rPr>
          <w:rFonts w:ascii="Arial" w:eastAsia="Arial" w:hAnsi="Arial" w:cs="Arial"/>
          <w:color w:val="000000" w:themeColor="text1"/>
          <w:sz w:val="22"/>
          <w:szCs w:val="22"/>
        </w:rPr>
        <w:t xml:space="preserve"> visita técnica </w:t>
      </w:r>
      <w:r w:rsidR="00BE6466" w:rsidRPr="00BE6466">
        <w:rPr>
          <w:rFonts w:ascii="Arial" w:hAnsi="Arial" w:cs="Arial"/>
          <w:color w:val="0D0D0D"/>
          <w:sz w:val="22"/>
          <w:szCs w:val="22"/>
        </w:rPr>
        <w:t xml:space="preserve">dando cumplimiento a la </w:t>
      </w:r>
      <w:commentRangeStart w:id="10"/>
      <w:r w:rsidR="00BE6466" w:rsidRPr="00BE6466">
        <w:rPr>
          <w:rFonts w:ascii="Arial" w:hAnsi="Arial" w:cs="Arial"/>
          <w:color w:val="0D0D0D"/>
          <w:sz w:val="22"/>
          <w:szCs w:val="22"/>
        </w:rPr>
        <w:t>resolución N. 129 del 18 de marzo de 2021</w:t>
      </w:r>
      <w:commentRangeEnd w:id="10"/>
      <w:r w:rsidR="001939A9" w:rsidRPr="00BE6466">
        <w:rPr>
          <w:rStyle w:val="Refdecomentario"/>
          <w:rFonts w:ascii="Arial" w:hAnsi="Arial" w:cs="Arial"/>
          <w:color w:val="0D0D0D"/>
          <w:sz w:val="22"/>
          <w:szCs w:val="22"/>
        </w:rPr>
        <w:commentReference w:id="10"/>
      </w:r>
      <w:r w:rsidR="00BE6466" w:rsidRPr="00BE6466">
        <w:rPr>
          <w:rFonts w:ascii="Arial" w:hAnsi="Arial" w:cs="Arial"/>
          <w:color w:val="0D0D0D"/>
          <w:sz w:val="22"/>
          <w:szCs w:val="22"/>
        </w:rPr>
        <w:t xml:space="preserve">, por el cual se impone una sanción y se impone una orden, así: Fisuras y humedad en el apartamento, puerta alcoba principal dañada (por instalar), techo inclinado contra muro de sala y dilatación en puerta de alcoba principal, filtraciones por cubierta en la sala y mueble bajo de cocina dilatado del muro. El propietario NO asistió, </w:t>
      </w:r>
      <w:commentRangeStart w:id="11"/>
      <w:r w:rsidR="00BE6466" w:rsidRPr="00BE6466">
        <w:rPr>
          <w:rFonts w:ascii="Arial" w:hAnsi="Arial" w:cs="Arial"/>
          <w:color w:val="0D0D0D"/>
          <w:sz w:val="22"/>
          <w:szCs w:val="22"/>
        </w:rPr>
        <w:t>en la portería no confirmaron que si recibió y retiró la citación</w:t>
      </w:r>
      <w:commentRangeEnd w:id="11"/>
      <w:r w:rsidR="001939A9" w:rsidRPr="00BE6466">
        <w:rPr>
          <w:rStyle w:val="Refdecomentario"/>
          <w:rFonts w:ascii="Arial" w:hAnsi="Arial" w:cs="Arial"/>
          <w:color w:val="0D0D0D"/>
          <w:sz w:val="22"/>
          <w:szCs w:val="22"/>
        </w:rPr>
        <w:commentReference w:id="11"/>
      </w:r>
      <w:r w:rsidR="00BE6466" w:rsidRPr="00BE6466">
        <w:rPr>
          <w:rFonts w:ascii="Arial" w:hAnsi="Arial" w:cs="Arial"/>
          <w:color w:val="0D0D0D"/>
          <w:sz w:val="22"/>
          <w:szCs w:val="22"/>
        </w:rPr>
        <w:t>, sin embargo, se realizó la diligencia ya que el enajenador se encontró interviniendo la torre 6, incluyendo el apto 623, el cual fue intervenido aproximadamente el 24 de noviembre de 2021, y se tiene programado entregas aproximadamente en el mes de mayo de 2022</w:t>
      </w:r>
      <w:r w:rsidR="00846414">
        <w:rPr>
          <w:rFonts w:ascii="Arial" w:hAnsi="Arial" w:cs="Arial"/>
          <w:color w:val="0D0D0D"/>
          <w:sz w:val="22"/>
          <w:szCs w:val="22"/>
        </w:rPr>
        <w:t xml:space="preserve"> </w:t>
      </w:r>
      <w:r w:rsidR="00F501E9">
        <w:rPr>
          <w:rFonts w:ascii="Arial" w:hAnsi="Arial" w:cs="Arial"/>
          <w:color w:val="0D0D0D"/>
          <w:sz w:val="22"/>
          <w:szCs w:val="22"/>
        </w:rPr>
        <w:t>así</w:t>
      </w:r>
      <w:r w:rsidR="00846414">
        <w:rPr>
          <w:rFonts w:ascii="Arial" w:hAnsi="Arial" w:cs="Arial"/>
          <w:color w:val="0D0D0D"/>
          <w:sz w:val="22"/>
          <w:szCs w:val="22"/>
        </w:rPr>
        <w:t xml:space="preserve"> las cosas el hecho persiste en un 30%.</w:t>
      </w:r>
    </w:p>
    <w:p w14:paraId="14BFEE24" w14:textId="755B765F" w:rsidR="009A6ECE" w:rsidRDefault="009E760B">
      <w:pPr>
        <w:ind w:right="-92"/>
        <w:jc w:val="both"/>
        <w:rPr>
          <w:rFonts w:ascii="Arial" w:eastAsia="Arial" w:hAnsi="Arial" w:cs="Arial"/>
          <w:color w:val="000000" w:themeColor="text1"/>
          <w:sz w:val="22"/>
          <w:szCs w:val="22"/>
        </w:rPr>
      </w:pPr>
      <w:r w:rsidRPr="001D25AC">
        <w:rPr>
          <w:rFonts w:ascii="Arial" w:eastAsia="Arial" w:hAnsi="Arial" w:cs="Arial"/>
          <w:color w:val="000000" w:themeColor="text1"/>
          <w:sz w:val="22"/>
          <w:szCs w:val="22"/>
        </w:rPr>
        <w:t xml:space="preserve">Que </w:t>
      </w:r>
      <w:r w:rsidR="00EB405F" w:rsidRPr="001D25AC">
        <w:rPr>
          <w:rFonts w:ascii="Arial" w:eastAsia="Arial" w:hAnsi="Arial" w:cs="Arial"/>
          <w:color w:val="000000" w:themeColor="text1"/>
          <w:sz w:val="22"/>
          <w:szCs w:val="22"/>
        </w:rPr>
        <w:t>mediante radicado</w:t>
      </w:r>
      <w:r w:rsidR="00846414">
        <w:rPr>
          <w:rFonts w:ascii="Arial" w:eastAsia="Arial" w:hAnsi="Arial" w:cs="Arial"/>
          <w:color w:val="000000" w:themeColor="text1"/>
          <w:sz w:val="22"/>
          <w:szCs w:val="22"/>
        </w:rPr>
        <w:t>s</w:t>
      </w:r>
      <w:r w:rsidR="00EB405F" w:rsidRPr="001D25AC">
        <w:rPr>
          <w:rFonts w:ascii="Arial" w:eastAsia="Arial" w:hAnsi="Arial" w:cs="Arial"/>
          <w:color w:val="000000" w:themeColor="text1"/>
          <w:sz w:val="22"/>
          <w:szCs w:val="22"/>
        </w:rPr>
        <w:t xml:space="preserve"> 2-202</w:t>
      </w:r>
      <w:r w:rsidR="00846414">
        <w:rPr>
          <w:rFonts w:ascii="Arial" w:eastAsia="Arial" w:hAnsi="Arial" w:cs="Arial"/>
          <w:color w:val="000000" w:themeColor="text1"/>
          <w:sz w:val="22"/>
          <w:szCs w:val="22"/>
        </w:rPr>
        <w:t>2</w:t>
      </w:r>
      <w:r w:rsidR="00EB405F" w:rsidRPr="001D25AC">
        <w:rPr>
          <w:rFonts w:ascii="Arial" w:eastAsia="Arial" w:hAnsi="Arial" w:cs="Arial"/>
          <w:color w:val="000000" w:themeColor="text1"/>
          <w:sz w:val="22"/>
          <w:szCs w:val="22"/>
        </w:rPr>
        <w:t>-</w:t>
      </w:r>
      <w:r w:rsidR="00846414">
        <w:rPr>
          <w:rFonts w:ascii="Arial" w:eastAsia="Arial" w:hAnsi="Arial" w:cs="Arial"/>
          <w:color w:val="000000" w:themeColor="text1"/>
          <w:sz w:val="22"/>
          <w:szCs w:val="22"/>
        </w:rPr>
        <w:t>30369 y 2-2022-30370</w:t>
      </w:r>
      <w:r w:rsidR="00185C06" w:rsidRPr="001D25AC">
        <w:rPr>
          <w:rFonts w:ascii="Arial" w:eastAsia="Arial" w:hAnsi="Arial" w:cs="Arial"/>
          <w:color w:val="000000" w:themeColor="text1"/>
          <w:sz w:val="22"/>
          <w:szCs w:val="22"/>
        </w:rPr>
        <w:t xml:space="preserve"> del 2</w:t>
      </w:r>
      <w:r w:rsidR="00846414">
        <w:rPr>
          <w:rFonts w:ascii="Arial" w:eastAsia="Arial" w:hAnsi="Arial" w:cs="Arial"/>
          <w:color w:val="000000" w:themeColor="text1"/>
          <w:sz w:val="22"/>
          <w:szCs w:val="22"/>
        </w:rPr>
        <w:t>2</w:t>
      </w:r>
      <w:r w:rsidR="00185C06" w:rsidRPr="001D25AC">
        <w:rPr>
          <w:rFonts w:ascii="Arial" w:eastAsia="Arial" w:hAnsi="Arial" w:cs="Arial"/>
          <w:color w:val="000000" w:themeColor="text1"/>
          <w:sz w:val="22"/>
          <w:szCs w:val="22"/>
        </w:rPr>
        <w:t xml:space="preserve"> de ma</w:t>
      </w:r>
      <w:r w:rsidR="00846414">
        <w:rPr>
          <w:rFonts w:ascii="Arial" w:eastAsia="Arial" w:hAnsi="Arial" w:cs="Arial"/>
          <w:color w:val="000000" w:themeColor="text1"/>
          <w:sz w:val="22"/>
          <w:szCs w:val="22"/>
        </w:rPr>
        <w:t>yo</w:t>
      </w:r>
      <w:r w:rsidR="00185C06" w:rsidRPr="001D25AC">
        <w:rPr>
          <w:rFonts w:ascii="Arial" w:eastAsia="Arial" w:hAnsi="Arial" w:cs="Arial"/>
          <w:color w:val="000000" w:themeColor="text1"/>
          <w:sz w:val="22"/>
          <w:szCs w:val="22"/>
        </w:rPr>
        <w:t xml:space="preserve"> de 202</w:t>
      </w:r>
      <w:r w:rsidR="001939A9">
        <w:rPr>
          <w:rFonts w:ascii="Arial" w:eastAsia="Arial" w:hAnsi="Arial" w:cs="Arial"/>
          <w:color w:val="000000" w:themeColor="text1"/>
          <w:sz w:val="22"/>
          <w:szCs w:val="22"/>
        </w:rPr>
        <w:t>2</w:t>
      </w:r>
      <w:r w:rsidR="00185C06" w:rsidRPr="001D25AC">
        <w:rPr>
          <w:rFonts w:ascii="Arial" w:eastAsia="Arial" w:hAnsi="Arial" w:cs="Arial"/>
          <w:color w:val="000000" w:themeColor="text1"/>
          <w:sz w:val="22"/>
          <w:szCs w:val="22"/>
        </w:rPr>
        <w:t>,</w:t>
      </w:r>
      <w:r w:rsidR="00EB405F" w:rsidRPr="001D25AC">
        <w:rPr>
          <w:rFonts w:ascii="Arial" w:eastAsia="Arial" w:hAnsi="Arial" w:cs="Arial"/>
          <w:color w:val="000000" w:themeColor="text1"/>
          <w:sz w:val="22"/>
          <w:szCs w:val="22"/>
        </w:rPr>
        <w:t xml:space="preserve"> </w:t>
      </w:r>
      <w:r w:rsidRPr="001D25AC">
        <w:rPr>
          <w:rFonts w:ascii="Arial" w:eastAsia="Arial" w:hAnsi="Arial" w:cs="Arial"/>
          <w:color w:val="000000" w:themeColor="text1"/>
          <w:sz w:val="22"/>
          <w:szCs w:val="22"/>
        </w:rPr>
        <w:t xml:space="preserve">este despacho </w:t>
      </w:r>
      <w:r w:rsidR="00F501E9">
        <w:rPr>
          <w:rFonts w:ascii="Arial" w:eastAsia="Arial" w:hAnsi="Arial" w:cs="Arial"/>
          <w:color w:val="000000" w:themeColor="text1"/>
          <w:sz w:val="22"/>
          <w:szCs w:val="22"/>
        </w:rPr>
        <w:t xml:space="preserve">realizo traslado de verificación de hechos </w:t>
      </w:r>
      <w:r w:rsidR="001939A9">
        <w:rPr>
          <w:rFonts w:ascii="Arial" w:eastAsia="Arial" w:hAnsi="Arial" w:cs="Arial"/>
          <w:color w:val="000000" w:themeColor="text1"/>
          <w:sz w:val="22"/>
          <w:szCs w:val="22"/>
        </w:rPr>
        <w:t>t</w:t>
      </w:r>
      <w:r w:rsidR="00F501E9">
        <w:rPr>
          <w:rFonts w:ascii="Arial" w:eastAsia="Arial" w:hAnsi="Arial" w:cs="Arial"/>
          <w:color w:val="000000" w:themeColor="text1"/>
          <w:sz w:val="22"/>
          <w:szCs w:val="22"/>
        </w:rPr>
        <w:t xml:space="preserve">anto al enajenador como al quejoso </w:t>
      </w:r>
      <w:r w:rsidR="00EB405F" w:rsidRPr="001D25AC">
        <w:rPr>
          <w:rFonts w:ascii="Arial" w:eastAsia="Arial" w:hAnsi="Arial" w:cs="Arial"/>
          <w:color w:val="000000" w:themeColor="text1"/>
          <w:sz w:val="22"/>
          <w:szCs w:val="22"/>
        </w:rPr>
        <w:t>para que en el término de diez (10) días</w:t>
      </w:r>
      <w:r w:rsidR="00F501E9">
        <w:rPr>
          <w:rFonts w:ascii="Arial" w:eastAsia="Arial" w:hAnsi="Arial" w:cs="Arial"/>
          <w:color w:val="000000" w:themeColor="text1"/>
          <w:sz w:val="22"/>
          <w:szCs w:val="22"/>
        </w:rPr>
        <w:t xml:space="preserve"> para que se pronuncien sobre dicho </w:t>
      </w:r>
      <w:commentRangeStart w:id="12"/>
      <w:r w:rsidR="00F501E9">
        <w:rPr>
          <w:rFonts w:ascii="Arial" w:eastAsia="Arial" w:hAnsi="Arial" w:cs="Arial"/>
          <w:color w:val="000000" w:themeColor="text1"/>
          <w:sz w:val="22"/>
          <w:szCs w:val="22"/>
        </w:rPr>
        <w:t>informe</w:t>
      </w:r>
      <w:r w:rsidR="00F25AA7" w:rsidRPr="001D25AC">
        <w:rPr>
          <w:rFonts w:ascii="Arial" w:eastAsia="Arial" w:hAnsi="Arial" w:cs="Arial"/>
          <w:color w:val="000000" w:themeColor="text1"/>
          <w:sz w:val="22"/>
          <w:szCs w:val="22"/>
        </w:rPr>
        <w:t xml:space="preserve">. </w:t>
      </w:r>
      <w:commentRangeEnd w:id="12"/>
      <w:r w:rsidR="001939A9">
        <w:rPr>
          <w:rStyle w:val="Refdecomentario"/>
          <w:rFonts w:ascii="Arial" w:eastAsia="Arial" w:hAnsi="Arial" w:cs="Arial"/>
          <w:color w:val="000000" w:themeColor="text1"/>
          <w:sz w:val="22"/>
          <w:szCs w:val="22"/>
        </w:rPr>
        <w:commentReference w:id="12"/>
      </w:r>
    </w:p>
    <w:p w14:paraId="53BF53AE" w14:textId="77777777" w:rsidR="00F501E9" w:rsidRDefault="00F501E9">
      <w:pPr>
        <w:ind w:right="-92"/>
        <w:jc w:val="both"/>
        <w:rPr>
          <w:rFonts w:ascii="Arial" w:eastAsia="Arial" w:hAnsi="Arial" w:cs="Arial"/>
          <w:color w:val="000000" w:themeColor="text1"/>
          <w:sz w:val="22"/>
          <w:szCs w:val="22"/>
        </w:rPr>
      </w:pPr>
    </w:p>
    <w:p w14:paraId="44FD643F" w14:textId="15B5605B" w:rsidR="00F501E9" w:rsidRDefault="00F501E9" w:rsidP="00F501E9">
      <w:pPr>
        <w:ind w:right="-92"/>
        <w:jc w:val="both"/>
        <w:rPr>
          <w:rFonts w:ascii="Arial" w:eastAsia="Arial" w:hAnsi="Arial" w:cs="Arial"/>
          <w:color w:val="000000" w:themeColor="text1"/>
          <w:sz w:val="22"/>
          <w:szCs w:val="22"/>
        </w:rPr>
      </w:pPr>
      <w:r w:rsidRPr="001D25AC">
        <w:rPr>
          <w:rFonts w:ascii="Arial" w:eastAsia="Arial" w:hAnsi="Arial" w:cs="Arial"/>
          <w:color w:val="000000" w:themeColor="text1"/>
          <w:sz w:val="22"/>
          <w:szCs w:val="22"/>
        </w:rPr>
        <w:t>Que, en cumplimiento de las funciones de seguimiento, este Despacho mediante radicado 2-202</w:t>
      </w:r>
      <w:r>
        <w:rPr>
          <w:rFonts w:ascii="Arial" w:eastAsia="Arial" w:hAnsi="Arial" w:cs="Arial"/>
          <w:color w:val="000000" w:themeColor="text1"/>
          <w:sz w:val="22"/>
          <w:szCs w:val="22"/>
        </w:rPr>
        <w:t>4</w:t>
      </w:r>
      <w:r w:rsidRPr="001D25AC">
        <w:rPr>
          <w:rFonts w:ascii="Arial" w:eastAsia="Arial" w:hAnsi="Arial" w:cs="Arial"/>
          <w:color w:val="000000" w:themeColor="text1"/>
          <w:sz w:val="22"/>
          <w:szCs w:val="22"/>
        </w:rPr>
        <w:t>-</w:t>
      </w:r>
      <w:r>
        <w:rPr>
          <w:rFonts w:ascii="Arial" w:eastAsia="Arial" w:hAnsi="Arial" w:cs="Arial"/>
          <w:color w:val="000000" w:themeColor="text1"/>
          <w:sz w:val="22"/>
          <w:szCs w:val="22"/>
        </w:rPr>
        <w:t>59074</w:t>
      </w:r>
      <w:r w:rsidRPr="001D25AC">
        <w:rPr>
          <w:rFonts w:ascii="Arial" w:eastAsia="Arial" w:hAnsi="Arial" w:cs="Arial"/>
          <w:color w:val="000000" w:themeColor="text1"/>
          <w:sz w:val="22"/>
          <w:szCs w:val="22"/>
        </w:rPr>
        <w:t xml:space="preserve"> y 2-202</w:t>
      </w:r>
      <w:r>
        <w:rPr>
          <w:rFonts w:ascii="Arial" w:eastAsia="Arial" w:hAnsi="Arial" w:cs="Arial"/>
          <w:color w:val="000000" w:themeColor="text1"/>
          <w:sz w:val="22"/>
          <w:szCs w:val="22"/>
        </w:rPr>
        <w:t>4</w:t>
      </w:r>
      <w:r w:rsidRPr="001D25AC">
        <w:rPr>
          <w:rFonts w:ascii="Arial" w:eastAsia="Arial" w:hAnsi="Arial" w:cs="Arial"/>
          <w:color w:val="000000" w:themeColor="text1"/>
          <w:sz w:val="22"/>
          <w:szCs w:val="22"/>
        </w:rPr>
        <w:t>-</w:t>
      </w:r>
      <w:r>
        <w:rPr>
          <w:rFonts w:ascii="Arial" w:eastAsia="Arial" w:hAnsi="Arial" w:cs="Arial"/>
          <w:color w:val="000000" w:themeColor="text1"/>
          <w:sz w:val="22"/>
          <w:szCs w:val="22"/>
        </w:rPr>
        <w:t>59075</w:t>
      </w:r>
      <w:r w:rsidRPr="001D25AC">
        <w:rPr>
          <w:rFonts w:ascii="Arial" w:eastAsia="Arial" w:hAnsi="Arial" w:cs="Arial"/>
          <w:color w:val="000000" w:themeColor="text1"/>
          <w:sz w:val="22"/>
          <w:szCs w:val="22"/>
        </w:rPr>
        <w:t xml:space="preserve"> del </w:t>
      </w:r>
      <w:r>
        <w:rPr>
          <w:rFonts w:ascii="Arial" w:eastAsia="Arial" w:hAnsi="Arial" w:cs="Arial"/>
          <w:color w:val="000000" w:themeColor="text1"/>
          <w:sz w:val="22"/>
          <w:szCs w:val="22"/>
        </w:rPr>
        <w:t>18</w:t>
      </w:r>
      <w:r w:rsidRPr="001D25AC">
        <w:rPr>
          <w:rFonts w:ascii="Arial" w:eastAsia="Arial" w:hAnsi="Arial" w:cs="Arial"/>
          <w:color w:val="000000" w:themeColor="text1"/>
          <w:sz w:val="22"/>
          <w:szCs w:val="22"/>
        </w:rPr>
        <w:t xml:space="preserve"> de </w:t>
      </w:r>
      <w:r>
        <w:rPr>
          <w:rFonts w:ascii="Arial" w:eastAsia="Arial" w:hAnsi="Arial" w:cs="Arial"/>
          <w:color w:val="000000" w:themeColor="text1"/>
          <w:sz w:val="22"/>
          <w:szCs w:val="22"/>
        </w:rPr>
        <w:t>diciembre de 2024</w:t>
      </w:r>
      <w:r w:rsidRPr="001D25AC">
        <w:rPr>
          <w:rFonts w:ascii="Arial" w:eastAsia="Arial" w:hAnsi="Arial" w:cs="Arial"/>
          <w:color w:val="000000" w:themeColor="text1"/>
          <w:sz w:val="22"/>
          <w:szCs w:val="22"/>
        </w:rPr>
        <w:t xml:space="preserve"> </w:t>
      </w:r>
      <w:r>
        <w:rPr>
          <w:rFonts w:ascii="Arial" w:eastAsia="Arial" w:hAnsi="Arial" w:cs="Arial"/>
          <w:color w:val="000000" w:themeColor="text1"/>
          <w:sz w:val="22"/>
          <w:szCs w:val="22"/>
        </w:rPr>
        <w:t xml:space="preserve">se requirió a la parte enajenadora y la parte quejosa </w:t>
      </w:r>
      <w:r w:rsidRPr="001D25AC">
        <w:rPr>
          <w:rFonts w:ascii="Arial" w:eastAsia="Arial" w:hAnsi="Arial" w:cs="Arial"/>
          <w:color w:val="000000" w:themeColor="text1"/>
          <w:sz w:val="22"/>
          <w:szCs w:val="22"/>
        </w:rPr>
        <w:t>para que en el término de diez (10) días</w:t>
      </w:r>
      <w:r>
        <w:rPr>
          <w:rFonts w:ascii="Arial" w:eastAsia="Arial" w:hAnsi="Arial" w:cs="Arial"/>
          <w:color w:val="000000" w:themeColor="text1"/>
          <w:sz w:val="22"/>
          <w:szCs w:val="22"/>
        </w:rPr>
        <w:t xml:space="preserve"> para que se pronuncien sobre hechos que persisten sobre el expediente 3-2017-23633-4</w:t>
      </w:r>
    </w:p>
    <w:p w14:paraId="6F0F9F54" w14:textId="77777777" w:rsidR="00F501E9" w:rsidRDefault="00F501E9" w:rsidP="00F501E9">
      <w:pPr>
        <w:ind w:right="-92"/>
        <w:jc w:val="both"/>
        <w:rPr>
          <w:rFonts w:ascii="Arial" w:eastAsia="Arial" w:hAnsi="Arial" w:cs="Arial"/>
          <w:color w:val="000000" w:themeColor="text1"/>
          <w:sz w:val="22"/>
          <w:szCs w:val="22"/>
        </w:rPr>
      </w:pPr>
    </w:p>
    <w:p w14:paraId="19BB37E9" w14:textId="5D975332" w:rsidR="00F501E9" w:rsidRDefault="00F501E9" w:rsidP="00F501E9">
      <w:pPr>
        <w:ind w:right="-92"/>
        <w:jc w:val="both"/>
        <w:rPr>
          <w:rStyle w:val="Fuerte"/>
          <w:rFonts w:ascii="Arial" w:hAnsi="Arial" w:cs="Arial"/>
          <w:color w:val="0D0D0D"/>
          <w:sz w:val="22"/>
          <w:szCs w:val="22"/>
        </w:rPr>
      </w:pPr>
      <w:commentRangeStart w:id="13"/>
      <w:r>
        <w:rPr>
          <w:rFonts w:ascii="Arial" w:eastAsia="Arial" w:hAnsi="Arial" w:cs="Arial"/>
          <w:color w:val="000000" w:themeColor="text1"/>
          <w:sz w:val="22"/>
          <w:szCs w:val="22"/>
        </w:rPr>
        <w:t xml:space="preserve">Después de requeridas las partes el constructor allego comunicación de radicado 1-2025-575 con el objeto de aportar cumplimiento a la orden de la </w:t>
      </w:r>
      <w:r w:rsidRPr="00D72223">
        <w:rPr>
          <w:rStyle w:val="Fuerte"/>
          <w:rFonts w:ascii="Arial" w:hAnsi="Arial" w:cs="Arial"/>
          <w:color w:val="0D0D0D"/>
          <w:sz w:val="22"/>
          <w:szCs w:val="22"/>
        </w:rPr>
        <w:t>Resolución No. 1800 del 09 de septiembre de 2019</w:t>
      </w:r>
      <w:r w:rsidR="00D24B09">
        <w:rPr>
          <w:rStyle w:val="Fuerte"/>
          <w:rFonts w:ascii="Arial" w:hAnsi="Arial" w:cs="Arial"/>
          <w:color w:val="0D0D0D"/>
          <w:sz w:val="22"/>
          <w:szCs w:val="22"/>
        </w:rPr>
        <w:t>.</w:t>
      </w:r>
      <w:commentRangeEnd w:id="13"/>
      <w:r w:rsidR="001939A9">
        <w:rPr>
          <w:rStyle w:val="Refdecomentario"/>
          <w:rFonts w:ascii="Arial" w:hAnsi="Arial" w:cs="Arial"/>
          <w:b/>
          <w:bCs/>
          <w:color w:val="0D0D0D"/>
          <w:sz w:val="22"/>
          <w:szCs w:val="22"/>
        </w:rPr>
        <w:commentReference w:id="13"/>
      </w:r>
    </w:p>
    <w:p w14:paraId="2CCB5898" w14:textId="77777777" w:rsidR="00D24B09" w:rsidRDefault="00D24B09" w:rsidP="00F501E9">
      <w:pPr>
        <w:ind w:right="-92"/>
        <w:jc w:val="both"/>
        <w:rPr>
          <w:rStyle w:val="Fuerte"/>
          <w:rFonts w:ascii="Arial" w:hAnsi="Arial" w:cs="Arial"/>
          <w:color w:val="0D0D0D"/>
          <w:sz w:val="22"/>
          <w:szCs w:val="22"/>
        </w:rPr>
      </w:pPr>
    </w:p>
    <w:p w14:paraId="326A3E6F" w14:textId="0847A44D" w:rsidR="00D24B09" w:rsidRDefault="00D24B09" w:rsidP="00F501E9">
      <w:pPr>
        <w:ind w:right="-92"/>
        <w:jc w:val="both"/>
        <w:rPr>
          <w:rFonts w:ascii="Arial" w:hAnsi="Arial" w:cs="Arial"/>
          <w:color w:val="0D0D0D"/>
          <w:sz w:val="22"/>
          <w:szCs w:val="22"/>
          <w:shd w:val="clear" w:color="auto" w:fill="FFFFFF"/>
        </w:rPr>
      </w:pPr>
      <w:r>
        <w:rPr>
          <w:rFonts w:ascii="Arial" w:hAnsi="Arial" w:cs="Arial"/>
          <w:color w:val="0D0D0D"/>
          <w:sz w:val="22"/>
          <w:szCs w:val="22"/>
          <w:shd w:val="clear" w:color="auto" w:fill="FFFFFF"/>
        </w:rPr>
        <w:t xml:space="preserve">Que </w:t>
      </w:r>
      <w:r w:rsidRPr="00D24B09">
        <w:rPr>
          <w:rFonts w:ascii="Arial" w:hAnsi="Arial" w:cs="Arial"/>
          <w:color w:val="0D0D0D"/>
          <w:sz w:val="22"/>
          <w:szCs w:val="22"/>
          <w:shd w:val="clear" w:color="auto" w:fill="FFFFFF"/>
        </w:rPr>
        <w:t xml:space="preserve">La Secretaría Distrital del Hábitat, mediante los </w:t>
      </w:r>
      <w:commentRangeStart w:id="14"/>
      <w:r w:rsidRPr="00D24B09">
        <w:rPr>
          <w:rFonts w:ascii="Arial" w:hAnsi="Arial" w:cs="Arial"/>
          <w:color w:val="0D0D0D"/>
          <w:sz w:val="22"/>
          <w:szCs w:val="22"/>
          <w:shd w:val="clear" w:color="auto" w:fill="FFFFFF"/>
        </w:rPr>
        <w:t>radicados </w:t>
      </w:r>
      <w:r w:rsidRPr="00D24B09">
        <w:rPr>
          <w:rStyle w:val="Fuerte"/>
          <w:rFonts w:ascii="Arial" w:hAnsi="Arial" w:cs="Arial"/>
          <w:color w:val="0D0D0D"/>
          <w:sz w:val="22"/>
          <w:szCs w:val="22"/>
          <w:shd w:val="clear" w:color="auto" w:fill="FFFFFF"/>
        </w:rPr>
        <w:t>2-2025-28536</w:t>
      </w:r>
      <w:r w:rsidRPr="00D24B09">
        <w:rPr>
          <w:rFonts w:ascii="Arial" w:hAnsi="Arial" w:cs="Arial"/>
          <w:color w:val="0D0D0D"/>
          <w:sz w:val="22"/>
          <w:szCs w:val="22"/>
          <w:shd w:val="clear" w:color="auto" w:fill="FFFFFF"/>
        </w:rPr>
        <w:t> y </w:t>
      </w:r>
      <w:r w:rsidRPr="00D24B09">
        <w:rPr>
          <w:rStyle w:val="Fuerte"/>
          <w:rFonts w:ascii="Arial" w:hAnsi="Arial" w:cs="Arial"/>
          <w:color w:val="0D0D0D"/>
          <w:sz w:val="22"/>
          <w:szCs w:val="22"/>
          <w:shd w:val="clear" w:color="auto" w:fill="FFFFFF"/>
        </w:rPr>
        <w:t>2-2025-28537</w:t>
      </w:r>
      <w:r w:rsidRPr="00D24B09">
        <w:rPr>
          <w:rFonts w:ascii="Arial" w:hAnsi="Arial" w:cs="Arial"/>
          <w:color w:val="0D0D0D"/>
          <w:sz w:val="22"/>
          <w:szCs w:val="22"/>
          <w:shd w:val="clear" w:color="auto" w:fill="FFFFFF"/>
        </w:rPr>
        <w:t>, en cumplimiento de la Resolución 1800 de 2019</w:t>
      </w:r>
      <w:commentRangeEnd w:id="14"/>
      <w:r w:rsidR="001939A9" w:rsidRPr="00D24B09">
        <w:rPr>
          <w:rStyle w:val="Refdecomentario"/>
          <w:rFonts w:ascii="Arial" w:hAnsi="Arial" w:cs="Arial"/>
          <w:color w:val="0D0D0D"/>
          <w:sz w:val="22"/>
          <w:szCs w:val="22"/>
          <w:shd w:val="clear" w:color="auto" w:fill="FFFFFF"/>
        </w:rPr>
        <w:commentReference w:id="14"/>
      </w:r>
      <w:r w:rsidRPr="00D24B09">
        <w:rPr>
          <w:rFonts w:ascii="Arial" w:hAnsi="Arial" w:cs="Arial"/>
          <w:color w:val="0D0D0D"/>
          <w:sz w:val="22"/>
          <w:szCs w:val="22"/>
          <w:shd w:val="clear" w:color="auto" w:fill="FFFFFF"/>
        </w:rPr>
        <w:t>, informó tanto a la propietaria (o su apoderado) como a la sociedad Urbanizadora Marval S.A.S. la programación de una visita técnica el 17 de junio de 2025  en el apartamento 623 del proyecto Pradera San Carlos, con el fin de verificar el cumplimiento de la orden administrativa impuesta por las deficiencias constructivas previamente identificadas, debiendo las partes asistir o delegar representación debidamente autorizada.</w:t>
      </w:r>
    </w:p>
    <w:p w14:paraId="4E74F890" w14:textId="77777777" w:rsidR="00D24B09" w:rsidRDefault="00D24B09" w:rsidP="00F501E9">
      <w:pPr>
        <w:ind w:right="-92"/>
        <w:jc w:val="both"/>
        <w:rPr>
          <w:rFonts w:ascii="Segoe UI" w:hAnsi="Segoe UI" w:cs="Segoe UI"/>
          <w:color w:val="0D0D0D"/>
          <w:shd w:val="clear" w:color="auto" w:fill="FFFFFF"/>
        </w:rPr>
      </w:pPr>
    </w:p>
    <w:p w14:paraId="4F339915" w14:textId="4B9C83B1" w:rsidR="00D24B09" w:rsidRDefault="00D24B09" w:rsidP="00F501E9">
      <w:pPr>
        <w:ind w:right="-92"/>
        <w:jc w:val="both"/>
        <w:rPr>
          <w:rFonts w:ascii="Arial" w:hAnsi="Arial" w:cs="Arial"/>
          <w:color w:val="0D0D0D"/>
          <w:sz w:val="22"/>
          <w:szCs w:val="22"/>
          <w:shd w:val="clear" w:color="auto" w:fill="FFFFFF"/>
        </w:rPr>
      </w:pPr>
      <w:r>
        <w:rPr>
          <w:rFonts w:ascii="Segoe UI" w:hAnsi="Segoe UI" w:cs="Segoe UI"/>
          <w:color w:val="0D0D0D"/>
          <w:shd w:val="clear" w:color="auto" w:fill="FFFFFF"/>
        </w:rPr>
        <w:t xml:space="preserve">En el </w:t>
      </w:r>
      <w:r w:rsidRPr="00D24B09">
        <w:rPr>
          <w:rFonts w:ascii="Arial" w:hAnsi="Arial" w:cs="Arial"/>
          <w:color w:val="0D0D0D"/>
          <w:sz w:val="22"/>
          <w:szCs w:val="22"/>
          <w:shd w:val="clear" w:color="auto" w:fill="FFFFFF"/>
        </w:rPr>
        <w:t>acta de visita técnica del 17 de junio de 2025 se dejó constancia de que </w:t>
      </w:r>
      <w:r w:rsidRPr="00D24B09">
        <w:rPr>
          <w:rStyle w:val="Fuerte"/>
          <w:rFonts w:ascii="Arial" w:hAnsi="Arial" w:cs="Arial"/>
          <w:color w:val="0D0D0D"/>
          <w:sz w:val="22"/>
          <w:szCs w:val="22"/>
          <w:shd w:val="clear" w:color="auto" w:fill="FFFFFF"/>
        </w:rPr>
        <w:t>ninguna de las partes citadas asistió a la diligencia</w:t>
      </w:r>
      <w:r w:rsidRPr="00D24B09">
        <w:rPr>
          <w:rFonts w:ascii="Arial" w:hAnsi="Arial" w:cs="Arial"/>
          <w:color w:val="0D0D0D"/>
          <w:sz w:val="22"/>
          <w:szCs w:val="22"/>
          <w:shd w:val="clear" w:color="auto" w:fill="FFFFFF"/>
        </w:rPr>
        <w:t>, registrándose la inasistencia tanto del quejoso como del enajenador.</w:t>
      </w:r>
    </w:p>
    <w:p w14:paraId="2F894669" w14:textId="3D3787D3" w:rsidR="00BA586E" w:rsidRDefault="00BA586E" w:rsidP="00BA586E">
      <w:pPr>
        <w:pStyle w:val="NormalWeb"/>
        <w:shd w:val="clear" w:color="auto" w:fill="FFFFFF"/>
        <w:spacing w:before="0" w:after="0"/>
        <w:jc w:val="both"/>
        <w:rPr>
          <w:rFonts w:ascii="Arial" w:hAnsi="Arial" w:cs="Arial"/>
          <w:color w:val="0D0D0D"/>
          <w:sz w:val="22"/>
          <w:szCs w:val="22"/>
        </w:rPr>
      </w:pPr>
      <w:commentRangeStart w:id="15"/>
      <w:r w:rsidRPr="00BA586E">
        <w:rPr>
          <w:rFonts w:ascii="Arial" w:hAnsi="Arial" w:cs="Arial"/>
          <w:color w:val="0D0D0D"/>
          <w:sz w:val="22"/>
          <w:szCs w:val="22"/>
        </w:rPr>
        <w:t>Tras la inasistencia de las partes a la visita técnica programada para el 17 de junio de 2025, la Secretaría Distrital del Hábitat dejó constancia de que no fue posible practicar la diligencia. En consecuencia, mediante nueva comunicación, </w:t>
      </w:r>
      <w:r w:rsidRPr="00BA586E">
        <w:rPr>
          <w:rStyle w:val="Fuerte"/>
          <w:rFonts w:ascii="Arial" w:hAnsi="Arial" w:cs="Arial"/>
          <w:color w:val="0D0D0D"/>
          <w:sz w:val="22"/>
          <w:szCs w:val="22"/>
        </w:rPr>
        <w:t>requirió a la parte interesada para que informe las razones de su inasistencia</w:t>
      </w:r>
      <w:r w:rsidRPr="00BA586E">
        <w:rPr>
          <w:rFonts w:ascii="Arial" w:hAnsi="Arial" w:cs="Arial"/>
          <w:color w:val="0D0D0D"/>
          <w:sz w:val="22"/>
          <w:szCs w:val="22"/>
        </w:rPr>
        <w:t> y advirtió que, de no hacerlo dentro del término de un (1) mes, se entenderá desistida la queja. Adicionalmente, se evidenció que las partes habían sido </w:t>
      </w:r>
      <w:r w:rsidRPr="00BA586E">
        <w:rPr>
          <w:rStyle w:val="Fuerte"/>
          <w:rFonts w:ascii="Arial" w:hAnsi="Arial" w:cs="Arial"/>
          <w:color w:val="0D0D0D"/>
          <w:sz w:val="22"/>
          <w:szCs w:val="22"/>
        </w:rPr>
        <w:t>debidamente citadas previamente mediante los radicados 2-2025-28536 y 2-2025-28537</w:t>
      </w:r>
      <w:r w:rsidRPr="00BA586E">
        <w:rPr>
          <w:rFonts w:ascii="Arial" w:hAnsi="Arial" w:cs="Arial"/>
          <w:color w:val="0D0D0D"/>
          <w:sz w:val="22"/>
          <w:szCs w:val="22"/>
        </w:rPr>
        <w:t>, garantizando el debido proceso, por lo cual se procedió a reiterar la citación y continuar con el trámite administrativo correspondiente.</w:t>
      </w:r>
      <w:commentRangeEnd w:id="15"/>
      <w:r w:rsidR="001939A9">
        <w:rPr>
          <w:rStyle w:val="Refdecomentario"/>
          <w:rFonts w:ascii="Arial" w:hAnsi="Arial" w:cs="Arial"/>
          <w:color w:val="0D0D0D"/>
          <w:sz w:val="22"/>
          <w:szCs w:val="22"/>
        </w:rPr>
        <w:commentReference w:id="15"/>
      </w:r>
    </w:p>
    <w:p w14:paraId="35177367" w14:textId="5723EDBB" w:rsidR="00BA586E" w:rsidRPr="00BA586E" w:rsidRDefault="00BA586E" w:rsidP="00BA586E">
      <w:pPr>
        <w:pStyle w:val="NormalWeb"/>
        <w:shd w:val="clear" w:color="auto" w:fill="FFFFFF"/>
        <w:spacing w:before="0" w:after="0"/>
        <w:jc w:val="both"/>
        <w:rPr>
          <w:rFonts w:ascii="Arial" w:hAnsi="Arial" w:cs="Arial"/>
          <w:color w:val="0D0D0D"/>
          <w:sz w:val="22"/>
          <w:szCs w:val="22"/>
        </w:rPr>
      </w:pPr>
      <w:commentRangeStart w:id="16"/>
      <w:r>
        <w:rPr>
          <w:rFonts w:ascii="Arial" w:hAnsi="Arial" w:cs="Arial"/>
          <w:color w:val="0D0D0D"/>
          <w:sz w:val="22"/>
          <w:szCs w:val="22"/>
        </w:rPr>
        <w:lastRenderedPageBreak/>
        <w:t xml:space="preserve">Que en informe de verificación de hechos del 17 de octubre de 2025 </w:t>
      </w:r>
      <w:commentRangeEnd w:id="16"/>
      <w:r w:rsidR="001939A9" w:rsidRPr="00BA586E">
        <w:rPr>
          <w:rStyle w:val="Refdecomentario"/>
          <w:rFonts w:ascii="Arial" w:hAnsi="Arial" w:cs="Arial"/>
          <w:color w:val="0D0D0D"/>
          <w:sz w:val="22"/>
          <w:szCs w:val="22"/>
        </w:rPr>
        <w:commentReference w:id="16"/>
      </w:r>
    </w:p>
    <w:p w14:paraId="0F4B9B55" w14:textId="77777777" w:rsidR="00BA586E" w:rsidRPr="00D24B09" w:rsidRDefault="00BA586E" w:rsidP="00F501E9">
      <w:pPr>
        <w:ind w:right="-92"/>
        <w:jc w:val="both"/>
        <w:rPr>
          <w:rStyle w:val="Fuerte"/>
          <w:rFonts w:ascii="Arial" w:hAnsi="Arial" w:cs="Arial"/>
          <w:color w:val="0D0D0D"/>
          <w:sz w:val="22"/>
          <w:szCs w:val="22"/>
        </w:rPr>
      </w:pPr>
    </w:p>
    <w:p w14:paraId="14BFEE35" w14:textId="77777777" w:rsidR="009A6ECE" w:rsidRPr="001D25AC" w:rsidRDefault="00EB405F">
      <w:pPr>
        <w:widowControl w:val="0"/>
        <w:jc w:val="center"/>
        <w:rPr>
          <w:rFonts w:ascii="Arial" w:eastAsia="Arial" w:hAnsi="Arial" w:cs="Arial"/>
          <w:b/>
          <w:bCs/>
          <w:sz w:val="22"/>
          <w:szCs w:val="22"/>
        </w:rPr>
      </w:pPr>
      <w:r w:rsidRPr="001D25AC">
        <w:rPr>
          <w:rFonts w:ascii="Arial" w:eastAsia="Arial" w:hAnsi="Arial" w:cs="Arial"/>
          <w:b/>
          <w:bCs/>
          <w:sz w:val="22"/>
          <w:szCs w:val="22"/>
        </w:rPr>
        <w:t>ANÁLISIS DEL DESPACHO</w:t>
      </w:r>
    </w:p>
    <w:p w14:paraId="14BFEE36" w14:textId="77777777" w:rsidR="009A6ECE" w:rsidRPr="001D25AC" w:rsidRDefault="009A6ECE">
      <w:pPr>
        <w:widowControl w:val="0"/>
        <w:jc w:val="center"/>
        <w:rPr>
          <w:rFonts w:ascii="Arial" w:eastAsia="Arial" w:hAnsi="Arial" w:cs="Arial"/>
          <w:b/>
          <w:bCs/>
          <w:sz w:val="22"/>
          <w:szCs w:val="22"/>
        </w:rPr>
      </w:pPr>
    </w:p>
    <w:p w14:paraId="14BFEE38" w14:textId="77777777" w:rsidR="009A6ECE" w:rsidRPr="001D25AC" w:rsidRDefault="00EB405F">
      <w:pPr>
        <w:widowControl w:val="0"/>
        <w:numPr>
          <w:ilvl w:val="0"/>
          <w:numId w:val="2"/>
        </w:numPr>
        <w:ind w:left="720" w:hanging="360"/>
        <w:rPr>
          <w:rFonts w:ascii="Arial" w:eastAsia="Arial" w:hAnsi="Arial" w:cs="Arial"/>
          <w:b/>
          <w:bCs/>
          <w:sz w:val="22"/>
          <w:szCs w:val="22"/>
        </w:rPr>
      </w:pPr>
      <w:r w:rsidRPr="001D25AC">
        <w:rPr>
          <w:rFonts w:ascii="Arial" w:eastAsia="Arial" w:hAnsi="Arial" w:cs="Arial"/>
          <w:b/>
          <w:bCs/>
          <w:sz w:val="22"/>
          <w:szCs w:val="22"/>
        </w:rPr>
        <w:t>FUNDAMENTO LEGAL</w:t>
      </w:r>
    </w:p>
    <w:p w14:paraId="14BFEE39" w14:textId="77777777" w:rsidR="009A6ECE" w:rsidRPr="001D25AC" w:rsidRDefault="009A6ECE">
      <w:pPr>
        <w:widowControl w:val="0"/>
        <w:jc w:val="center"/>
        <w:rPr>
          <w:rFonts w:ascii="Arial" w:eastAsia="Arial" w:hAnsi="Arial" w:cs="Arial"/>
          <w:b/>
          <w:bCs/>
          <w:sz w:val="22"/>
          <w:szCs w:val="22"/>
        </w:rPr>
      </w:pPr>
    </w:p>
    <w:p w14:paraId="14BFEE3A" w14:textId="77777777" w:rsidR="009A6ECE" w:rsidRPr="001D25AC" w:rsidRDefault="00EB405F">
      <w:pPr>
        <w:widowControl w:val="0"/>
        <w:jc w:val="both"/>
        <w:rPr>
          <w:rFonts w:ascii="Arial" w:eastAsia="Arial" w:hAnsi="Arial" w:cs="Arial"/>
          <w:sz w:val="22"/>
          <w:szCs w:val="22"/>
        </w:rPr>
      </w:pPr>
      <w:r w:rsidRPr="001D25AC">
        <w:rPr>
          <w:rFonts w:ascii="Arial" w:eastAsia="Arial" w:hAnsi="Arial" w:cs="Arial"/>
          <w:sz w:val="22"/>
          <w:szCs w:val="22"/>
        </w:rPr>
        <w:t>Debe esta Dirección partir de que la función de inspección, vigilancia y control sobre la actividad de enajenación de inmuebles destinados a vivienda, de conformidad con las Leyes 66 de 1968, 388 de 1997, Decretos Leyes 2610 de 1979 y 078 de 1987 y demás normas concordantes, se ejerce sobre las personas naturales o jurídicas que desarrollen la actividad de enajenación de vivienda en el Distrito, con el propósito de resguardar el orden social y amparar la observancia de la ley.</w:t>
      </w:r>
    </w:p>
    <w:p w14:paraId="14BFEE3B" w14:textId="77777777" w:rsidR="009A6ECE" w:rsidRPr="001D25AC" w:rsidRDefault="009A6ECE">
      <w:pPr>
        <w:widowControl w:val="0"/>
        <w:jc w:val="both"/>
        <w:rPr>
          <w:rFonts w:ascii="Arial" w:eastAsia="Arial" w:hAnsi="Arial" w:cs="Arial"/>
          <w:sz w:val="22"/>
          <w:szCs w:val="22"/>
        </w:rPr>
      </w:pPr>
    </w:p>
    <w:p w14:paraId="14BFEE3C" w14:textId="77777777" w:rsidR="009A6ECE" w:rsidRPr="001D25AC" w:rsidRDefault="00EB405F">
      <w:pPr>
        <w:widowControl w:val="0"/>
        <w:jc w:val="both"/>
        <w:rPr>
          <w:rFonts w:ascii="Arial" w:eastAsia="Arial" w:hAnsi="Arial" w:cs="Arial"/>
          <w:sz w:val="22"/>
          <w:szCs w:val="22"/>
        </w:rPr>
      </w:pPr>
      <w:r w:rsidRPr="001D25AC">
        <w:rPr>
          <w:rFonts w:ascii="Arial" w:hAnsi="Arial" w:cs="Arial"/>
          <w:sz w:val="22"/>
          <w:szCs w:val="22"/>
        </w:rPr>
        <w:t xml:space="preserve">Bajo este entendido, el parágrafo del artículo 111 del Decreto 653 de 2015 establece que la Subsecretaría de Inspección, Vigilancia y Control de Vivienda de la Secretaría Distrital del Hábitat, adelantará de oficio o a petición de parte las investigaciones administrativas por infracción a las normas que regulan el régimen de construcción y enajenación, autoconstrucción, arrendamiento e intermediación de vivienda, por lo que, en ejercicio de estas funciones, esta Entidad procedió a imponer sanción mediante la Resolución </w:t>
      </w:r>
      <w:commentRangeStart w:id="17"/>
      <w:r w:rsidRPr="001D25AC">
        <w:rPr>
          <w:rFonts w:ascii="Arial" w:hAnsi="Arial" w:cs="Arial"/>
          <w:sz w:val="22"/>
          <w:szCs w:val="22"/>
        </w:rPr>
        <w:t>No. 128 de 22 de febrero de 2022, "Por la cual se impone una sanción y se imparte una orden", multó a la sociedad enajenadora URBANIZADORA MARIN VALENCIA S.A., consistente en multa y orden de hacer.</w:t>
      </w:r>
      <w:commentRangeEnd w:id="17"/>
      <w:r w:rsidR="00326920" w:rsidRPr="001D25AC">
        <w:rPr>
          <w:rStyle w:val="Refdecomentario"/>
          <w:rFonts w:ascii="Arial" w:eastAsia="Arial" w:hAnsi="Arial" w:cs="Arial"/>
          <w:sz w:val="22"/>
          <w:szCs w:val="22"/>
        </w:rPr>
        <w:commentReference w:id="17"/>
      </w:r>
    </w:p>
    <w:p w14:paraId="14BFEE3D" w14:textId="77777777" w:rsidR="009A6ECE" w:rsidRPr="001D25AC" w:rsidRDefault="009A6ECE">
      <w:pPr>
        <w:widowControl w:val="0"/>
        <w:jc w:val="both"/>
        <w:rPr>
          <w:rFonts w:ascii="Arial" w:eastAsia="Arial" w:hAnsi="Arial" w:cs="Arial"/>
          <w:sz w:val="22"/>
          <w:szCs w:val="22"/>
        </w:rPr>
      </w:pPr>
    </w:p>
    <w:p w14:paraId="14BFEE3E" w14:textId="77777777" w:rsidR="009A6ECE" w:rsidRPr="001D25AC" w:rsidRDefault="00EB405F">
      <w:pPr>
        <w:widowControl w:val="0"/>
        <w:jc w:val="both"/>
        <w:rPr>
          <w:rFonts w:ascii="Arial" w:eastAsia="Arial" w:hAnsi="Arial" w:cs="Arial"/>
          <w:sz w:val="22"/>
          <w:szCs w:val="22"/>
        </w:rPr>
      </w:pPr>
      <w:bookmarkStart w:id="18" w:name="_heading=h.lwtbhv3cbsp7" w:colFirst="0" w:colLast="0"/>
      <w:bookmarkEnd w:id="18"/>
      <w:r w:rsidRPr="001D25AC">
        <w:rPr>
          <w:rFonts w:ascii="Arial" w:eastAsia="Arial" w:hAnsi="Arial" w:cs="Arial"/>
          <w:sz w:val="22"/>
          <w:szCs w:val="22"/>
        </w:rPr>
        <w:t xml:space="preserve">Ahora bien, señala el artículo 126 del Decreto Distrital 653 de 2015 que, una vez ejecutoriada la actuación que imponga una orden a los enajenadores responsables de un proyecto de vivienda, y superado el término dispuesto para su cumplimiento, se adelantará el </w:t>
      </w:r>
      <w:r w:rsidRPr="001D25AC">
        <w:rPr>
          <w:rFonts w:ascii="Arial" w:eastAsia="Arial" w:hAnsi="Arial" w:cs="Arial"/>
          <w:b/>
          <w:bCs/>
          <w:sz w:val="22"/>
          <w:szCs w:val="22"/>
        </w:rPr>
        <w:t>SEGUIMIENTO A LA ORDEN</w:t>
      </w:r>
      <w:r w:rsidRPr="001D25AC">
        <w:rPr>
          <w:rFonts w:ascii="Arial" w:eastAsia="Arial" w:hAnsi="Arial" w:cs="Arial"/>
          <w:sz w:val="22"/>
          <w:szCs w:val="22"/>
        </w:rPr>
        <w:t xml:space="preserve"> para corroborar el cumplimiento del acto administrativo que la impuso.</w:t>
      </w:r>
    </w:p>
    <w:p w14:paraId="14BFEE3F" w14:textId="77777777" w:rsidR="009A6ECE" w:rsidRPr="001D25AC" w:rsidRDefault="009A6ECE">
      <w:pPr>
        <w:widowControl w:val="0"/>
        <w:jc w:val="both"/>
        <w:rPr>
          <w:rFonts w:ascii="Arial" w:eastAsia="Arial" w:hAnsi="Arial" w:cs="Arial"/>
          <w:sz w:val="22"/>
          <w:szCs w:val="22"/>
        </w:rPr>
      </w:pPr>
    </w:p>
    <w:p w14:paraId="14BFEE40" w14:textId="77777777" w:rsidR="009A6ECE" w:rsidRPr="001D25AC" w:rsidRDefault="00EB405F">
      <w:pPr>
        <w:widowControl w:val="0"/>
        <w:jc w:val="both"/>
        <w:rPr>
          <w:rFonts w:ascii="Arial" w:eastAsia="Arial" w:hAnsi="Arial" w:cs="Arial"/>
          <w:sz w:val="22"/>
          <w:szCs w:val="22"/>
        </w:rPr>
      </w:pPr>
      <w:r w:rsidRPr="001D25AC">
        <w:rPr>
          <w:rFonts w:ascii="Arial" w:eastAsia="Arial" w:hAnsi="Arial" w:cs="Arial"/>
          <w:sz w:val="22"/>
          <w:szCs w:val="22"/>
        </w:rPr>
        <w:t xml:space="preserve">Para el seguimiento a la orden, el artículo 2, numeral 9 del Decreto Ley 078 de 1987, en concordancia con el artículo 28 de la Ley 66 de 1968, modificado por el artículo 11 del Decreto Ley 2610 de 1979, establece la imposición de multas sucesivas de diez mil pesos ($10.000.oo) a quinientos mil pesos ($500.000.oo) M/cte., a las personas o entidades que </w:t>
      </w:r>
      <w:r w:rsidRPr="001D25AC">
        <w:rPr>
          <w:rFonts w:ascii="Arial" w:eastAsia="Arial" w:hAnsi="Arial" w:cs="Arial"/>
          <w:b/>
          <w:bCs/>
          <w:sz w:val="22"/>
          <w:szCs w:val="22"/>
          <w:u w:val="single"/>
        </w:rPr>
        <w:t>incumplan las órdenes</w:t>
      </w:r>
      <w:r w:rsidRPr="001D25AC">
        <w:rPr>
          <w:rFonts w:ascii="Arial" w:eastAsia="Arial" w:hAnsi="Arial" w:cs="Arial"/>
          <w:sz w:val="22"/>
          <w:szCs w:val="22"/>
        </w:rPr>
        <w:t xml:space="preserve"> o requerimientos que en uso de las facultades de inspección y vigilancia expida la autoridad de vivienda, para que se sujeten a las normas exigidas por las autoridades nacionales, departamentales, metropolitanas, municipales y distritales y/o para que se ajusten a las prescripciones de la Ley 66 de 1968. </w:t>
      </w:r>
    </w:p>
    <w:p w14:paraId="14BFEE41" w14:textId="77777777" w:rsidR="009A6ECE" w:rsidRPr="001D25AC" w:rsidRDefault="009A6ECE">
      <w:pPr>
        <w:widowControl w:val="0"/>
        <w:jc w:val="both"/>
        <w:rPr>
          <w:rFonts w:ascii="Arial" w:eastAsia="Arial" w:hAnsi="Arial" w:cs="Arial"/>
          <w:sz w:val="22"/>
          <w:szCs w:val="22"/>
        </w:rPr>
      </w:pPr>
    </w:p>
    <w:p w14:paraId="14BFEE42" w14:textId="77777777" w:rsidR="009A6ECE" w:rsidRPr="001D25AC" w:rsidRDefault="00EB405F">
      <w:pPr>
        <w:widowControl w:val="0"/>
        <w:jc w:val="both"/>
        <w:rPr>
          <w:rFonts w:ascii="Arial" w:eastAsia="Arial" w:hAnsi="Arial" w:cs="Arial"/>
          <w:sz w:val="22"/>
          <w:szCs w:val="22"/>
        </w:rPr>
      </w:pPr>
      <w:r w:rsidRPr="001D25AC">
        <w:rPr>
          <w:rFonts w:ascii="Arial" w:eastAsia="Arial" w:hAnsi="Arial" w:cs="Arial"/>
          <w:sz w:val="22"/>
          <w:szCs w:val="22"/>
        </w:rPr>
        <w:t xml:space="preserve">En el mismo sentido, el artículo 90 de la Ley 1437 de 2011, Código de Procedimiento Administrativo y de lo Contencioso Administrativo, establece que, sin perjuicio de lo dispuesto en leyes especiales, cuando un acto administrativo imponga una obligación no dineraria a un particular y este se resistiere a cumplirla, la autoridad que expidió el acto le impondrá multas sucesivas mientras permanezca en rebeldía, concediéndole plazos </w:t>
      </w:r>
      <w:r w:rsidRPr="001D25AC">
        <w:rPr>
          <w:rFonts w:ascii="Arial" w:eastAsia="Arial" w:hAnsi="Arial" w:cs="Arial"/>
          <w:sz w:val="22"/>
          <w:szCs w:val="22"/>
        </w:rPr>
        <w:lastRenderedPageBreak/>
        <w:t xml:space="preserve">razonables para que cumpla lo ordenado. </w:t>
      </w:r>
    </w:p>
    <w:p w14:paraId="14BFEE43" w14:textId="77777777" w:rsidR="009A6ECE" w:rsidRPr="001D25AC" w:rsidRDefault="009A6ECE">
      <w:pPr>
        <w:widowControl w:val="0"/>
        <w:jc w:val="both"/>
        <w:rPr>
          <w:rFonts w:ascii="Arial" w:eastAsia="Arial" w:hAnsi="Arial" w:cs="Arial"/>
          <w:sz w:val="22"/>
          <w:szCs w:val="22"/>
        </w:rPr>
      </w:pPr>
    </w:p>
    <w:p w14:paraId="14BFEE44" w14:textId="53419EF4" w:rsidR="009A6ECE" w:rsidRPr="001D25AC" w:rsidRDefault="00EB405F">
      <w:pPr>
        <w:widowControl w:val="0"/>
        <w:jc w:val="both"/>
        <w:rPr>
          <w:rFonts w:ascii="Arial" w:eastAsia="Arial" w:hAnsi="Arial" w:cs="Arial"/>
          <w:sz w:val="22"/>
          <w:szCs w:val="22"/>
        </w:rPr>
      </w:pPr>
      <w:r w:rsidRPr="001D25AC">
        <w:rPr>
          <w:rFonts w:ascii="Arial" w:eastAsia="Arial" w:hAnsi="Arial" w:cs="Arial"/>
          <w:sz w:val="22"/>
          <w:szCs w:val="22"/>
        </w:rPr>
        <w:t xml:space="preserve">En concordancia con lo expresado, viendo que de las actuaciones adelantadas no se desprende causal de nulidad alguna en el procedimiento, procede este Despacho a realizar el estudio de los elementos probatorios recaudados </w:t>
      </w:r>
      <w:r w:rsidRPr="001D25AC">
        <w:rPr>
          <w:rFonts w:ascii="Arial" w:eastAsia="Arial" w:hAnsi="Arial" w:cs="Arial"/>
          <w:color w:val="000000" w:themeColor="text1"/>
          <w:sz w:val="22"/>
          <w:szCs w:val="22"/>
        </w:rPr>
        <w:t xml:space="preserve">por esta Dirección, sobre los hechos objeto de la orden hacer </w:t>
      </w:r>
      <w:commentRangeStart w:id="19"/>
      <w:r w:rsidRPr="001D25AC">
        <w:rPr>
          <w:rFonts w:ascii="Arial" w:eastAsia="Arial" w:hAnsi="Arial" w:cs="Arial"/>
          <w:color w:val="000000" w:themeColor="text1"/>
          <w:sz w:val="22"/>
          <w:szCs w:val="22"/>
        </w:rPr>
        <w:t xml:space="preserve">contenida en la Resolución No. </w:t>
      </w:r>
      <w:r w:rsidR="00B0116F" w:rsidRPr="00D72223">
        <w:rPr>
          <w:rStyle w:val="Fuerte"/>
          <w:rFonts w:ascii="Arial" w:hAnsi="Arial" w:cs="Arial"/>
          <w:color w:val="0D0D0D"/>
          <w:sz w:val="22"/>
          <w:szCs w:val="22"/>
        </w:rPr>
        <w:t>Resolución</w:t>
      </w:r>
      <w:commentRangeEnd w:id="19"/>
      <w:r w:rsidR="00326920" w:rsidRPr="00D72223">
        <w:rPr>
          <w:rStyle w:val="Refdecomentario"/>
          <w:rFonts w:ascii="Arial" w:hAnsi="Arial" w:cs="Arial"/>
          <w:b/>
          <w:bCs/>
          <w:color w:val="0D0D0D"/>
          <w:sz w:val="22"/>
          <w:szCs w:val="22"/>
        </w:rPr>
        <w:commentReference w:id="19"/>
      </w:r>
      <w:r w:rsidR="00B0116F" w:rsidRPr="00D72223">
        <w:rPr>
          <w:rStyle w:val="Fuerte"/>
          <w:rFonts w:ascii="Arial" w:hAnsi="Arial" w:cs="Arial"/>
          <w:color w:val="0D0D0D"/>
          <w:sz w:val="22"/>
          <w:szCs w:val="22"/>
        </w:rPr>
        <w:t xml:space="preserve"> No. 1800 del 09 de septiembre de 2019</w:t>
      </w:r>
      <w:r w:rsidRPr="001D25AC">
        <w:rPr>
          <w:rFonts w:ascii="Arial" w:eastAsia="Arial" w:hAnsi="Arial" w:cs="Arial"/>
          <w:color w:val="000000" w:themeColor="text1"/>
          <w:sz w:val="22"/>
          <w:szCs w:val="22"/>
        </w:rPr>
        <w:t>, "</w:t>
      </w:r>
      <w:r w:rsidRPr="001D25AC">
        <w:rPr>
          <w:rFonts w:ascii="Arial" w:eastAsia="Arial" w:hAnsi="Arial" w:cs="Arial"/>
          <w:i/>
          <w:iCs/>
          <w:color w:val="000000" w:themeColor="text1"/>
          <w:sz w:val="22"/>
          <w:szCs w:val="22"/>
        </w:rPr>
        <w:t>Por la cual se impone una sanción y se imparte una orden</w:t>
      </w:r>
      <w:r w:rsidRPr="001D25AC">
        <w:rPr>
          <w:rFonts w:ascii="Arial" w:eastAsia="Arial" w:hAnsi="Arial" w:cs="Arial"/>
          <w:color w:val="000000" w:themeColor="text1"/>
          <w:sz w:val="22"/>
          <w:szCs w:val="22"/>
        </w:rPr>
        <w:t xml:space="preserve">", con el fin de determinar </w:t>
      </w:r>
      <w:r w:rsidRPr="001D25AC">
        <w:rPr>
          <w:rFonts w:ascii="Arial" w:eastAsia="Arial" w:hAnsi="Arial" w:cs="Arial"/>
          <w:sz w:val="22"/>
          <w:szCs w:val="22"/>
        </w:rPr>
        <w:t>si existe mérito para imposición de nuevas multas o si se ha dado cumplimiento a la orden de hacer.</w:t>
      </w:r>
    </w:p>
    <w:p w14:paraId="14BFEE45" w14:textId="77777777" w:rsidR="009A6ECE" w:rsidRPr="001D25AC" w:rsidRDefault="009A6ECE">
      <w:pPr>
        <w:widowControl w:val="0"/>
        <w:jc w:val="both"/>
        <w:rPr>
          <w:rFonts w:ascii="Arial" w:eastAsia="Arial" w:hAnsi="Arial" w:cs="Arial"/>
          <w:b/>
          <w:bCs/>
          <w:sz w:val="22"/>
          <w:szCs w:val="22"/>
        </w:rPr>
      </w:pPr>
    </w:p>
    <w:p w14:paraId="14BFEE46" w14:textId="77777777" w:rsidR="009A6ECE" w:rsidRPr="001D25AC" w:rsidRDefault="00EB405F">
      <w:pPr>
        <w:widowControl w:val="0"/>
        <w:numPr>
          <w:ilvl w:val="0"/>
          <w:numId w:val="1"/>
        </w:numPr>
        <w:spacing w:after="160" w:line="278" w:lineRule="auto"/>
        <w:jc w:val="both"/>
        <w:rPr>
          <w:rFonts w:ascii="Arial" w:eastAsia="Arial" w:hAnsi="Arial" w:cs="Arial"/>
          <w:b/>
          <w:bCs/>
          <w:sz w:val="22"/>
          <w:szCs w:val="22"/>
        </w:rPr>
      </w:pPr>
      <w:r w:rsidRPr="001D25AC">
        <w:rPr>
          <w:rFonts w:ascii="Arial" w:eastAsia="Arial" w:hAnsi="Arial" w:cs="Arial"/>
          <w:b/>
          <w:bCs/>
          <w:sz w:val="22"/>
          <w:szCs w:val="22"/>
        </w:rPr>
        <w:t xml:space="preserve"> ANÁLISIS PROBATORIO</w:t>
      </w:r>
    </w:p>
    <w:p w14:paraId="14BFEE47" w14:textId="28F97792" w:rsidR="009A6ECE" w:rsidRPr="001D25AC" w:rsidRDefault="00EB405F">
      <w:pPr>
        <w:widowControl w:val="0"/>
        <w:jc w:val="both"/>
        <w:rPr>
          <w:rFonts w:ascii="Arial" w:eastAsia="Arial" w:hAnsi="Arial" w:cs="Arial"/>
          <w:sz w:val="22"/>
          <w:szCs w:val="22"/>
        </w:rPr>
      </w:pPr>
      <w:r w:rsidRPr="001D25AC">
        <w:rPr>
          <w:rFonts w:ascii="Arial" w:eastAsia="Arial" w:hAnsi="Arial" w:cs="Arial"/>
          <w:sz w:val="22"/>
          <w:szCs w:val="22"/>
        </w:rPr>
        <w:t xml:space="preserve">En efecto, para que esta Subdirección proceda a eliminar o eximir a un vigilado del cumplimiento de una orden de hacer </w:t>
      </w:r>
      <w:r w:rsidR="00BE6466" w:rsidRPr="001D25AC">
        <w:rPr>
          <w:rFonts w:ascii="Arial" w:eastAsia="Arial" w:hAnsi="Arial" w:cs="Arial"/>
          <w:sz w:val="22"/>
          <w:szCs w:val="22"/>
        </w:rPr>
        <w:t>en virtud de</w:t>
      </w:r>
      <w:r w:rsidRPr="001D25AC">
        <w:rPr>
          <w:rFonts w:ascii="Arial" w:eastAsia="Arial" w:hAnsi="Arial" w:cs="Arial"/>
          <w:sz w:val="22"/>
          <w:szCs w:val="22"/>
        </w:rPr>
        <w:t xml:space="preserve"> la falta de colaboración por parte del quejoso aun a sabiendas de que su silencio era causal de entenderse por cumplida la orden de acuerdo tal y como se manifestó en el radicado </w:t>
      </w:r>
      <w:r w:rsidR="00B0116F">
        <w:rPr>
          <w:rFonts w:ascii="Arial" w:eastAsia="Arial" w:hAnsi="Arial" w:cs="Arial"/>
          <w:sz w:val="22"/>
          <w:szCs w:val="22"/>
        </w:rPr>
        <w:t>1-2025-575</w:t>
      </w:r>
      <w:r w:rsidR="00E14765" w:rsidRPr="001D25AC">
        <w:rPr>
          <w:rFonts w:ascii="Arial" w:eastAsia="Arial" w:hAnsi="Arial" w:cs="Arial"/>
          <w:sz w:val="22"/>
          <w:szCs w:val="22"/>
        </w:rPr>
        <w:t xml:space="preserve"> </w:t>
      </w:r>
      <w:r w:rsidR="00E14765" w:rsidRPr="001D25AC">
        <w:rPr>
          <w:rFonts w:ascii="Arial" w:eastAsia="Arial" w:hAnsi="Arial" w:cs="Arial"/>
          <w:color w:val="000000" w:themeColor="text1"/>
          <w:sz w:val="22"/>
          <w:szCs w:val="22"/>
        </w:rPr>
        <w:t xml:space="preserve">del </w:t>
      </w:r>
      <w:r w:rsidR="00B0116F">
        <w:rPr>
          <w:rFonts w:ascii="Arial" w:eastAsia="Arial" w:hAnsi="Arial" w:cs="Arial"/>
          <w:color w:val="000000" w:themeColor="text1"/>
          <w:sz w:val="22"/>
          <w:szCs w:val="22"/>
        </w:rPr>
        <w:t>1</w:t>
      </w:r>
      <w:r w:rsidR="00E14765" w:rsidRPr="001D25AC">
        <w:rPr>
          <w:rFonts w:ascii="Arial" w:eastAsia="Arial" w:hAnsi="Arial" w:cs="Arial"/>
          <w:color w:val="000000" w:themeColor="text1"/>
          <w:sz w:val="22"/>
          <w:szCs w:val="22"/>
        </w:rPr>
        <w:t xml:space="preserve"> de </w:t>
      </w:r>
      <w:r w:rsidR="00B0116F">
        <w:rPr>
          <w:rFonts w:ascii="Arial" w:eastAsia="Arial" w:hAnsi="Arial" w:cs="Arial"/>
          <w:color w:val="000000" w:themeColor="text1"/>
          <w:sz w:val="22"/>
          <w:szCs w:val="22"/>
        </w:rPr>
        <w:t>octubre</w:t>
      </w:r>
      <w:r w:rsidR="00E14765" w:rsidRPr="001D25AC">
        <w:rPr>
          <w:rFonts w:ascii="Arial" w:eastAsia="Arial" w:hAnsi="Arial" w:cs="Arial"/>
          <w:color w:val="000000" w:themeColor="text1"/>
          <w:sz w:val="22"/>
          <w:szCs w:val="22"/>
        </w:rPr>
        <w:t xml:space="preserve"> de 2025</w:t>
      </w:r>
      <w:r w:rsidRPr="001D25AC">
        <w:rPr>
          <w:rFonts w:ascii="Arial" w:eastAsia="Arial" w:hAnsi="Arial" w:cs="Arial"/>
          <w:sz w:val="22"/>
          <w:szCs w:val="22"/>
        </w:rPr>
        <w:t xml:space="preserve">, que refirió lo siguiente: </w:t>
      </w:r>
    </w:p>
    <w:p w14:paraId="14BFEE48" w14:textId="77777777" w:rsidR="009A6ECE" w:rsidRPr="001D25AC" w:rsidRDefault="009A6ECE">
      <w:pPr>
        <w:widowControl w:val="0"/>
        <w:jc w:val="both"/>
        <w:rPr>
          <w:rFonts w:ascii="Arial" w:eastAsia="Arial" w:hAnsi="Arial" w:cs="Arial"/>
          <w:sz w:val="22"/>
          <w:szCs w:val="22"/>
        </w:rPr>
      </w:pPr>
    </w:p>
    <w:p w14:paraId="14BFEE49" w14:textId="4E5F5C3E" w:rsidR="009A6ECE" w:rsidRPr="001D25AC" w:rsidRDefault="00EB405F">
      <w:pPr>
        <w:widowControl w:val="0"/>
        <w:ind w:left="680" w:right="680"/>
        <w:jc w:val="both"/>
        <w:rPr>
          <w:rFonts w:ascii="Arial" w:eastAsia="Arial" w:hAnsi="Arial" w:cs="Arial"/>
          <w:i/>
          <w:iCs/>
          <w:sz w:val="22"/>
          <w:szCs w:val="22"/>
        </w:rPr>
      </w:pPr>
      <w:r w:rsidRPr="001D25AC">
        <w:rPr>
          <w:rFonts w:ascii="Arial" w:eastAsia="Arial" w:hAnsi="Arial" w:cs="Arial"/>
          <w:i/>
          <w:iCs/>
          <w:sz w:val="22"/>
          <w:szCs w:val="22"/>
        </w:rPr>
        <w:t>“(…) s</w:t>
      </w:r>
      <w:r w:rsidR="00027360" w:rsidRPr="001D25AC">
        <w:rPr>
          <w:rFonts w:ascii="Arial" w:eastAsia="Arial" w:hAnsi="Arial" w:cs="Arial"/>
          <w:i/>
          <w:iCs/>
          <w:sz w:val="22"/>
          <w:szCs w:val="22"/>
        </w:rPr>
        <w:t xml:space="preserve">e le requeriré para que informe las razones que justifiquen </w:t>
      </w:r>
      <w:r w:rsidR="00106E21" w:rsidRPr="001D25AC">
        <w:rPr>
          <w:rFonts w:ascii="Arial" w:eastAsia="Arial" w:hAnsi="Arial" w:cs="Arial"/>
          <w:i/>
          <w:iCs/>
          <w:sz w:val="22"/>
          <w:szCs w:val="22"/>
        </w:rPr>
        <w:t xml:space="preserve">si inasistencia. En caso de no hacerlo en el </w:t>
      </w:r>
      <w:r w:rsidRPr="001D25AC">
        <w:rPr>
          <w:rFonts w:ascii="Arial" w:eastAsia="Arial" w:hAnsi="Arial" w:cs="Arial"/>
          <w:i/>
          <w:iCs/>
          <w:sz w:val="22"/>
          <w:szCs w:val="22"/>
        </w:rPr>
        <w:t xml:space="preserve">término de diez (10) días, </w:t>
      </w:r>
      <w:r w:rsidR="00106E21" w:rsidRPr="001D25AC">
        <w:rPr>
          <w:rFonts w:ascii="Arial" w:eastAsia="Arial" w:hAnsi="Arial" w:cs="Arial"/>
          <w:i/>
          <w:iCs/>
          <w:sz w:val="22"/>
          <w:szCs w:val="22"/>
        </w:rPr>
        <w:t xml:space="preserve">se entenderá por cumplida la orden impartida </w:t>
      </w:r>
      <w:r w:rsidRPr="001D25AC">
        <w:rPr>
          <w:rFonts w:ascii="Arial" w:eastAsia="Arial" w:hAnsi="Arial" w:cs="Arial"/>
          <w:i/>
          <w:iCs/>
          <w:sz w:val="22"/>
          <w:szCs w:val="22"/>
        </w:rPr>
        <w:t>(…)”.</w:t>
      </w:r>
    </w:p>
    <w:p w14:paraId="14BFEE4A" w14:textId="77777777" w:rsidR="009A6ECE" w:rsidRPr="001D25AC" w:rsidRDefault="009A6ECE">
      <w:pPr>
        <w:widowControl w:val="0"/>
        <w:jc w:val="both"/>
        <w:rPr>
          <w:rFonts w:ascii="Arial" w:eastAsia="Arial" w:hAnsi="Arial" w:cs="Arial"/>
          <w:sz w:val="22"/>
          <w:szCs w:val="22"/>
        </w:rPr>
      </w:pPr>
    </w:p>
    <w:p w14:paraId="04220E8D" w14:textId="77777777" w:rsidR="00B0116F" w:rsidRDefault="00EB405F" w:rsidP="00B0116F">
      <w:pPr>
        <w:ind w:right="-93"/>
        <w:rPr>
          <w:rFonts w:ascii="Arial" w:eastAsia="Arial" w:hAnsi="Arial" w:cs="Arial"/>
          <w:color w:val="000000" w:themeColor="text1"/>
          <w:sz w:val="22"/>
          <w:szCs w:val="22"/>
        </w:rPr>
      </w:pPr>
      <w:r w:rsidRPr="001D25AC">
        <w:rPr>
          <w:rFonts w:ascii="Arial" w:eastAsia="Arial" w:hAnsi="Arial" w:cs="Arial"/>
          <w:sz w:val="22"/>
          <w:szCs w:val="22"/>
        </w:rPr>
        <w:t>Hechos que también se encuentra</w:t>
      </w:r>
      <w:r w:rsidR="00E14765" w:rsidRPr="001D25AC">
        <w:rPr>
          <w:rFonts w:ascii="Arial" w:eastAsia="Arial" w:hAnsi="Arial" w:cs="Arial"/>
          <w:sz w:val="22"/>
          <w:szCs w:val="22"/>
        </w:rPr>
        <w:t>n</w:t>
      </w:r>
      <w:r w:rsidRPr="001D25AC">
        <w:rPr>
          <w:rFonts w:ascii="Arial" w:eastAsia="Arial" w:hAnsi="Arial" w:cs="Arial"/>
          <w:sz w:val="22"/>
          <w:szCs w:val="22"/>
        </w:rPr>
        <w:t xml:space="preserve"> plasmados en el Informe de Verificación de Hechos No. 25-</w:t>
      </w:r>
      <w:r w:rsidR="00B0116F">
        <w:rPr>
          <w:rFonts w:ascii="Arial" w:eastAsia="Arial" w:hAnsi="Arial" w:cs="Arial"/>
          <w:sz w:val="22"/>
          <w:szCs w:val="22"/>
        </w:rPr>
        <w:t>495</w:t>
      </w:r>
      <w:r w:rsidRPr="001D25AC">
        <w:rPr>
          <w:rFonts w:ascii="Arial" w:eastAsia="Arial" w:hAnsi="Arial" w:cs="Arial"/>
          <w:sz w:val="22"/>
          <w:szCs w:val="22"/>
        </w:rPr>
        <w:t xml:space="preserve"> del 1</w:t>
      </w:r>
      <w:r w:rsidR="00B0116F">
        <w:rPr>
          <w:rFonts w:ascii="Arial" w:eastAsia="Arial" w:hAnsi="Arial" w:cs="Arial"/>
          <w:sz w:val="22"/>
          <w:szCs w:val="22"/>
        </w:rPr>
        <w:t>7</w:t>
      </w:r>
      <w:r w:rsidRPr="001D25AC">
        <w:rPr>
          <w:rFonts w:ascii="Arial" w:eastAsia="Arial" w:hAnsi="Arial" w:cs="Arial"/>
          <w:sz w:val="22"/>
          <w:szCs w:val="22"/>
        </w:rPr>
        <w:t xml:space="preserve"> de </w:t>
      </w:r>
      <w:r w:rsidR="00B0116F">
        <w:rPr>
          <w:rFonts w:ascii="Arial" w:eastAsia="Arial" w:hAnsi="Arial" w:cs="Arial"/>
          <w:sz w:val="22"/>
          <w:szCs w:val="22"/>
        </w:rPr>
        <w:t>octubre</w:t>
      </w:r>
      <w:r w:rsidRPr="001D25AC">
        <w:rPr>
          <w:rFonts w:ascii="Arial" w:eastAsia="Arial" w:hAnsi="Arial" w:cs="Arial"/>
          <w:sz w:val="22"/>
          <w:szCs w:val="22"/>
        </w:rPr>
        <w:t xml:space="preserve"> de 2025, que evidenció los siguientes: </w:t>
      </w:r>
      <w:r w:rsidR="00B0116F" w:rsidRPr="00B0116F">
        <w:rPr>
          <w:rFonts w:ascii="Arial" w:eastAsia="Arial" w:hAnsi="Arial" w:cs="Arial"/>
          <w:color w:val="000000" w:themeColor="text1"/>
          <w:sz w:val="22"/>
          <w:szCs w:val="22"/>
        </w:rPr>
        <w:t xml:space="preserve">                                                               </w:t>
      </w:r>
    </w:p>
    <w:p w14:paraId="4E05C8D7" w14:textId="77777777" w:rsidR="00B0116F" w:rsidRDefault="00B0116F" w:rsidP="00B0116F">
      <w:pPr>
        <w:ind w:right="-93"/>
        <w:rPr>
          <w:rFonts w:ascii="Arial" w:eastAsia="Arial" w:hAnsi="Arial" w:cs="Arial"/>
          <w:color w:val="000000" w:themeColor="text1"/>
          <w:sz w:val="22"/>
          <w:szCs w:val="22"/>
        </w:rPr>
      </w:pPr>
    </w:p>
    <w:p w14:paraId="6C47F390" w14:textId="77777777" w:rsidR="00B0116F" w:rsidRDefault="00B0116F" w:rsidP="00B0116F">
      <w:pPr>
        <w:ind w:right="-93"/>
        <w:rPr>
          <w:rFonts w:ascii="Arial" w:eastAsia="Arial" w:hAnsi="Arial" w:cs="Arial"/>
          <w:color w:val="000000" w:themeColor="text1"/>
          <w:sz w:val="22"/>
          <w:szCs w:val="22"/>
        </w:rPr>
      </w:pPr>
    </w:p>
    <w:p w14:paraId="7129F277" w14:textId="27AC4089" w:rsidR="00B0116F" w:rsidRPr="00B0116F" w:rsidRDefault="00B0116F" w:rsidP="00B0116F">
      <w:pPr>
        <w:ind w:right="-93"/>
        <w:rPr>
          <w:rFonts w:ascii="Arial" w:eastAsia="Arial" w:hAnsi="Arial" w:cs="Arial"/>
          <w:i/>
          <w:iCs/>
          <w:color w:val="000000" w:themeColor="text1"/>
          <w:sz w:val="22"/>
          <w:szCs w:val="22"/>
        </w:rPr>
      </w:pPr>
      <w:r>
        <w:rPr>
          <w:rFonts w:ascii="Arial" w:eastAsia="Arial" w:hAnsi="Arial" w:cs="Arial"/>
          <w:color w:val="000000" w:themeColor="text1"/>
          <w:sz w:val="22"/>
          <w:szCs w:val="22"/>
        </w:rPr>
        <w:t xml:space="preserve">                                                                   </w:t>
      </w:r>
      <w:r w:rsidRPr="00B0116F">
        <w:rPr>
          <w:rFonts w:ascii="Arial" w:eastAsia="Arial" w:hAnsi="Arial" w:cs="Arial"/>
          <w:i/>
          <w:iCs/>
          <w:color w:val="000000" w:themeColor="text1"/>
          <w:sz w:val="22"/>
          <w:szCs w:val="22"/>
        </w:rPr>
        <w:t>HALLAZGOS:</w:t>
      </w:r>
    </w:p>
    <w:p w14:paraId="7147C4D3" w14:textId="77777777" w:rsidR="00B0116F" w:rsidRPr="00B0116F" w:rsidRDefault="00B0116F" w:rsidP="00B0116F">
      <w:pPr>
        <w:ind w:left="680" w:right="-93"/>
        <w:jc w:val="both"/>
        <w:rPr>
          <w:rFonts w:ascii="Arial" w:eastAsia="Arial" w:hAnsi="Arial" w:cs="Arial"/>
          <w:i/>
          <w:iCs/>
          <w:color w:val="000000" w:themeColor="text1"/>
          <w:sz w:val="22"/>
          <w:szCs w:val="22"/>
        </w:rPr>
      </w:pPr>
    </w:p>
    <w:p w14:paraId="6956CDC2" w14:textId="77777777" w:rsidR="00B0116F" w:rsidRPr="00B0116F" w:rsidRDefault="00B0116F" w:rsidP="00B0116F">
      <w:pPr>
        <w:ind w:left="680" w:right="-93"/>
        <w:jc w:val="both"/>
        <w:rPr>
          <w:rFonts w:ascii="Arial" w:eastAsia="Arial" w:hAnsi="Arial" w:cs="Arial"/>
          <w:b/>
          <w:bCs/>
          <w:i/>
          <w:iCs/>
          <w:color w:val="000000" w:themeColor="text1"/>
          <w:sz w:val="22"/>
          <w:szCs w:val="22"/>
          <w:u w:val="single"/>
        </w:rPr>
      </w:pPr>
      <w:r w:rsidRPr="00B0116F">
        <w:rPr>
          <w:rFonts w:ascii="Arial" w:eastAsia="Arial" w:hAnsi="Arial" w:cs="Arial"/>
          <w:b/>
          <w:bCs/>
          <w:color w:val="000000" w:themeColor="text1"/>
          <w:sz w:val="22"/>
          <w:szCs w:val="22"/>
        </w:rPr>
        <w:t>"</w:t>
      </w:r>
      <w:r w:rsidRPr="00B0116F">
        <w:rPr>
          <w:rFonts w:ascii="Arial" w:eastAsia="Arial" w:hAnsi="Arial" w:cs="Arial"/>
          <w:b/>
          <w:bCs/>
          <w:i/>
          <w:iCs/>
          <w:color w:val="000000" w:themeColor="text1"/>
          <w:sz w:val="22"/>
          <w:szCs w:val="22"/>
          <w:u w:val="single"/>
        </w:rPr>
        <w:t>A la visita de técnica de verificación de hechos NO asistió el quejoso y NO asistió el enajenador.</w:t>
      </w:r>
    </w:p>
    <w:p w14:paraId="4220761A" w14:textId="77777777" w:rsidR="00B0116F" w:rsidRPr="00B0116F" w:rsidRDefault="00B0116F" w:rsidP="00B0116F">
      <w:pPr>
        <w:ind w:left="680" w:right="-93"/>
        <w:jc w:val="both"/>
        <w:rPr>
          <w:rFonts w:ascii="Arial" w:eastAsia="Arial" w:hAnsi="Arial" w:cs="Arial"/>
          <w:i/>
          <w:iCs/>
          <w:color w:val="000000" w:themeColor="text1"/>
          <w:sz w:val="22"/>
          <w:szCs w:val="22"/>
        </w:rPr>
      </w:pPr>
    </w:p>
    <w:p w14:paraId="725F8920" w14:textId="77777777" w:rsidR="00B0116F" w:rsidRPr="00B0116F" w:rsidRDefault="00B0116F" w:rsidP="00B0116F">
      <w:pPr>
        <w:shd w:val="clear" w:color="auto" w:fill="FFFFFF"/>
        <w:spacing w:beforeAutospacing="1" w:afterAutospacing="1"/>
        <w:ind w:left="680"/>
        <w:jc w:val="both"/>
        <w:rPr>
          <w:rFonts w:ascii="Arial" w:hAnsi="Arial" w:cs="Arial"/>
          <w:color w:val="0D0D0D"/>
          <w:sz w:val="22"/>
          <w:szCs w:val="22"/>
          <w:lang w:val="es-CO"/>
        </w:rPr>
      </w:pPr>
      <w:commentRangeStart w:id="20"/>
      <w:r w:rsidRPr="00B0116F">
        <w:rPr>
          <w:rFonts w:ascii="Arial" w:hAnsi="Arial" w:cs="Arial"/>
          <w:color w:val="0D0D0D"/>
          <w:sz w:val="22"/>
          <w:szCs w:val="22"/>
          <w:lang w:val="es-CO"/>
        </w:rPr>
        <w:t>Que, en el marco del seguimiento al cumplimiento de la orden impartida mediante la Resolución No. 1800 del 09 de septiembre de 2019, la Secretaría Distrital del Hábitat programó visita técnica de verificación de hechos para el día </w:t>
      </w:r>
      <w:r w:rsidRPr="00B0116F">
        <w:rPr>
          <w:rFonts w:ascii="Arial" w:hAnsi="Arial" w:cs="Arial"/>
          <w:b/>
          <w:bCs/>
          <w:color w:val="0D0D0D"/>
          <w:sz w:val="22"/>
          <w:szCs w:val="22"/>
          <w:lang w:val="es-CO"/>
        </w:rPr>
        <w:t>17 de junio de 2025 a las 11:15 a.m.</w:t>
      </w:r>
      <w:r w:rsidRPr="00B0116F">
        <w:rPr>
          <w:rFonts w:ascii="Arial" w:hAnsi="Arial" w:cs="Arial"/>
          <w:color w:val="0D0D0D"/>
          <w:sz w:val="22"/>
          <w:szCs w:val="22"/>
          <w:lang w:val="es-CO"/>
        </w:rPr>
        <w:t>, la cual fue debidamente comunicada a las partes mediante los radicados </w:t>
      </w:r>
      <w:r w:rsidRPr="00B0116F">
        <w:rPr>
          <w:rFonts w:ascii="Arial" w:hAnsi="Arial" w:cs="Arial"/>
          <w:b/>
          <w:bCs/>
          <w:color w:val="0D0D0D"/>
          <w:sz w:val="22"/>
          <w:szCs w:val="22"/>
          <w:lang w:val="es-CO"/>
        </w:rPr>
        <w:t>2-2025-28536</w:t>
      </w:r>
      <w:r w:rsidRPr="00B0116F">
        <w:rPr>
          <w:rFonts w:ascii="Arial" w:hAnsi="Arial" w:cs="Arial"/>
          <w:color w:val="0D0D0D"/>
          <w:sz w:val="22"/>
          <w:szCs w:val="22"/>
          <w:lang w:val="es-CO"/>
        </w:rPr>
        <w:t> y </w:t>
      </w:r>
      <w:r w:rsidRPr="00B0116F">
        <w:rPr>
          <w:rFonts w:ascii="Arial" w:hAnsi="Arial" w:cs="Arial"/>
          <w:b/>
          <w:bCs/>
          <w:color w:val="0D0D0D"/>
          <w:sz w:val="22"/>
          <w:szCs w:val="22"/>
          <w:lang w:val="es-CO"/>
        </w:rPr>
        <w:t>2-2025-28537</w:t>
      </w:r>
      <w:r w:rsidRPr="00B0116F">
        <w:rPr>
          <w:rFonts w:ascii="Arial" w:hAnsi="Arial" w:cs="Arial"/>
          <w:color w:val="0D0D0D"/>
          <w:sz w:val="22"/>
          <w:szCs w:val="22"/>
          <w:lang w:val="es-CO"/>
        </w:rPr>
        <w:t>.Que, llegada la fecha y hora señaladas, </w:t>
      </w:r>
      <w:r w:rsidRPr="00B0116F">
        <w:rPr>
          <w:rFonts w:ascii="Arial" w:hAnsi="Arial" w:cs="Arial"/>
          <w:b/>
          <w:bCs/>
          <w:color w:val="0D0D0D"/>
          <w:sz w:val="22"/>
          <w:szCs w:val="22"/>
          <w:lang w:val="es-CO"/>
        </w:rPr>
        <w:t>ninguna de las partes citadas (quejoso y enajenador) asistió a la diligencia</w:t>
      </w:r>
      <w:r w:rsidRPr="00B0116F">
        <w:rPr>
          <w:rFonts w:ascii="Arial" w:hAnsi="Arial" w:cs="Arial"/>
          <w:color w:val="0D0D0D"/>
          <w:sz w:val="22"/>
          <w:szCs w:val="22"/>
          <w:lang w:val="es-CO"/>
        </w:rPr>
        <w:t>, situación que impidió la práctica de la visita técnica. Que, en el acta de visita se dejó constancia expresa de la inasistencia de las partes, evidenciando la falta de colaboración para el desarrollo de la actuación administrativa. Que, con posterioridad, la entidad </w:t>
      </w:r>
      <w:r w:rsidRPr="00B0116F">
        <w:rPr>
          <w:rFonts w:ascii="Arial" w:hAnsi="Arial" w:cs="Arial"/>
          <w:b/>
          <w:bCs/>
          <w:color w:val="0D0D0D"/>
          <w:sz w:val="22"/>
          <w:szCs w:val="22"/>
          <w:lang w:val="es-CO"/>
        </w:rPr>
        <w:t>requirió a la parte interesada para que justificara su inasistencia</w:t>
      </w:r>
      <w:r w:rsidRPr="00B0116F">
        <w:rPr>
          <w:rFonts w:ascii="Arial" w:hAnsi="Arial" w:cs="Arial"/>
          <w:color w:val="0D0D0D"/>
          <w:sz w:val="22"/>
          <w:szCs w:val="22"/>
          <w:lang w:val="es-CO"/>
        </w:rPr>
        <w:t xml:space="preserve">, advirtiendo que, en caso de no hacerlo dentro del término de un (1) mes, se entendería desistida la queja, sin que a la fecha se evidencie respuesta o </w:t>
      </w:r>
      <w:r w:rsidRPr="00B0116F">
        <w:rPr>
          <w:rFonts w:ascii="Arial" w:hAnsi="Arial" w:cs="Arial"/>
          <w:color w:val="0D0D0D"/>
          <w:sz w:val="22"/>
          <w:szCs w:val="22"/>
          <w:lang w:val="es-CO"/>
        </w:rPr>
        <w:lastRenderedPageBreak/>
        <w:t>justificación alguna. Que, adicionalmente, se garantizó el debido proceso al </w:t>
      </w:r>
      <w:r w:rsidRPr="00B0116F">
        <w:rPr>
          <w:rFonts w:ascii="Arial" w:hAnsi="Arial" w:cs="Arial"/>
          <w:b/>
          <w:bCs/>
          <w:color w:val="0D0D0D"/>
          <w:sz w:val="22"/>
          <w:szCs w:val="22"/>
          <w:lang w:val="es-CO"/>
        </w:rPr>
        <w:t>reiterar la citación y comunicar las actuaciones administrativas</w:t>
      </w:r>
      <w:r w:rsidRPr="00B0116F">
        <w:rPr>
          <w:rFonts w:ascii="Arial" w:hAnsi="Arial" w:cs="Arial"/>
          <w:color w:val="0D0D0D"/>
          <w:sz w:val="22"/>
          <w:szCs w:val="22"/>
          <w:lang w:val="es-CO"/>
        </w:rPr>
        <w:t>, sin que las partes ejercieran su derecho de contradicción o defensa. Que, en consecuencia, se configura un </w:t>
      </w:r>
      <w:r w:rsidRPr="00B0116F">
        <w:rPr>
          <w:rFonts w:ascii="Arial" w:hAnsi="Arial" w:cs="Arial"/>
          <w:b/>
          <w:bCs/>
          <w:color w:val="0D0D0D"/>
          <w:sz w:val="22"/>
          <w:szCs w:val="22"/>
          <w:lang w:val="es-CO"/>
        </w:rPr>
        <w:t>incumplimiento a la orden administrativa impartida</w:t>
      </w:r>
      <w:r w:rsidRPr="00B0116F">
        <w:rPr>
          <w:rFonts w:ascii="Arial" w:hAnsi="Arial" w:cs="Arial"/>
          <w:color w:val="0D0D0D"/>
          <w:sz w:val="22"/>
          <w:szCs w:val="22"/>
          <w:lang w:val="es-CO"/>
        </w:rPr>
        <w:t>, así como una falta de diligencia por parte de los interesados dentro del trámite, lo que impide verificar el cumplimiento de las obligaciones impuestas por la autoridad.</w:t>
      </w:r>
      <w:commentRangeEnd w:id="20"/>
      <w:r w:rsidR="00326920" w:rsidRPr="00B0116F">
        <w:rPr>
          <w:rStyle w:val="Refdecomentario"/>
          <w:rFonts w:ascii="Arial" w:hAnsi="Arial" w:cs="Arial"/>
          <w:color w:val="0D0D0D"/>
          <w:sz w:val="22"/>
          <w:szCs w:val="22"/>
          <w:lang w:val="es-CO"/>
        </w:rPr>
        <w:commentReference w:id="20"/>
      </w:r>
    </w:p>
    <w:p w14:paraId="561C8DFB" w14:textId="77777777" w:rsidR="00B0116F" w:rsidRPr="00B0116F" w:rsidRDefault="00B0116F" w:rsidP="00B0116F">
      <w:pPr>
        <w:shd w:val="clear" w:color="auto" w:fill="FFFFFF"/>
        <w:spacing w:beforeAutospacing="1" w:afterAutospacing="1"/>
        <w:jc w:val="both"/>
        <w:rPr>
          <w:rFonts w:ascii="Arial" w:hAnsi="Arial" w:cs="Arial"/>
          <w:color w:val="0D0D0D"/>
          <w:sz w:val="22"/>
          <w:szCs w:val="22"/>
          <w:lang w:val="es-CO"/>
        </w:rPr>
      </w:pPr>
      <w:r w:rsidRPr="00B0116F">
        <w:rPr>
          <w:rFonts w:ascii="Arial" w:hAnsi="Arial" w:cs="Arial"/>
          <w:color w:val="0D0D0D"/>
          <w:sz w:val="22"/>
          <w:szCs w:val="22"/>
          <w:shd w:val="clear" w:color="auto" w:fill="FFFFFF"/>
          <w:lang w:val="es-CO"/>
        </w:rPr>
        <w:t>Que, de acuerdo con lo anterior, esta Dirección procederá a determinar, conforme al análisis integral del caso concreto y al acervo probatorio obrante en el expediente, si resulta procedente la </w:t>
      </w:r>
      <w:r w:rsidRPr="00B0116F">
        <w:rPr>
          <w:rFonts w:ascii="Arial" w:hAnsi="Arial" w:cs="Arial"/>
          <w:b/>
          <w:bCs/>
          <w:color w:val="0D0D0D"/>
          <w:sz w:val="22"/>
          <w:szCs w:val="22"/>
          <w:shd w:val="clear" w:color="auto" w:fill="FFFFFF"/>
          <w:lang w:val="es-CO"/>
        </w:rPr>
        <w:t>imposición de multas sucesivas</w:t>
      </w:r>
      <w:r w:rsidRPr="00B0116F">
        <w:rPr>
          <w:rFonts w:ascii="Arial" w:hAnsi="Arial" w:cs="Arial"/>
          <w:color w:val="0D0D0D"/>
          <w:sz w:val="22"/>
          <w:szCs w:val="22"/>
          <w:shd w:val="clear" w:color="auto" w:fill="FFFFFF"/>
          <w:lang w:val="es-CO"/>
        </w:rPr>
        <w:t> de conformidad con lo previsto en el inciso segundo, numeral 9° del artículo 2° del Decreto Ley 078 de 1987, o, en su defecto, la </w:t>
      </w:r>
      <w:r w:rsidRPr="00B0116F">
        <w:rPr>
          <w:rFonts w:ascii="Arial" w:hAnsi="Arial" w:cs="Arial"/>
          <w:b/>
          <w:bCs/>
          <w:color w:val="0D0D0D"/>
          <w:sz w:val="22"/>
          <w:szCs w:val="22"/>
          <w:shd w:val="clear" w:color="auto" w:fill="FFFFFF"/>
          <w:lang w:val="es-CO"/>
        </w:rPr>
        <w:t>culminación de la actuación administrativa de seguimiento</w:t>
      </w:r>
      <w:r w:rsidRPr="00B0116F">
        <w:rPr>
          <w:rFonts w:ascii="Arial" w:hAnsi="Arial" w:cs="Arial"/>
          <w:color w:val="0D0D0D"/>
          <w:sz w:val="22"/>
          <w:szCs w:val="22"/>
          <w:shd w:val="clear" w:color="auto" w:fill="FFFFFF"/>
          <w:lang w:val="es-CO"/>
        </w:rPr>
        <w:t>, según corresponda.</w:t>
      </w:r>
    </w:p>
    <w:p w14:paraId="207FABAE" w14:textId="77777777" w:rsidR="00B0116F" w:rsidRPr="00B0116F" w:rsidRDefault="00B0116F" w:rsidP="00B0116F">
      <w:pPr>
        <w:pBdr>
          <w:top w:val="nil"/>
          <w:left w:val="nil"/>
          <w:bottom w:val="nil"/>
          <w:right w:val="nil"/>
          <w:between w:val="nil"/>
        </w:pBdr>
        <w:ind w:left="-284" w:right="-92"/>
        <w:jc w:val="center"/>
        <w:rPr>
          <w:rFonts w:ascii="Arial" w:eastAsia="Arial" w:hAnsi="Arial" w:cs="Arial"/>
          <w:b/>
          <w:bCs/>
          <w:sz w:val="22"/>
          <w:szCs w:val="22"/>
        </w:rPr>
      </w:pPr>
    </w:p>
    <w:p w14:paraId="14BFEE55" w14:textId="77777777" w:rsidR="009A6ECE" w:rsidRPr="001D25AC" w:rsidRDefault="00EB405F">
      <w:pPr>
        <w:widowControl w:val="0"/>
        <w:jc w:val="both"/>
        <w:rPr>
          <w:rFonts w:ascii="Arial" w:eastAsia="Arial" w:hAnsi="Arial" w:cs="Arial"/>
          <w:sz w:val="22"/>
          <w:szCs w:val="22"/>
        </w:rPr>
      </w:pPr>
      <w:r w:rsidRPr="001D25AC">
        <w:rPr>
          <w:rFonts w:ascii="Arial" w:eastAsia="Arial" w:hAnsi="Arial" w:cs="Arial"/>
          <w:sz w:val="22"/>
          <w:szCs w:val="22"/>
        </w:rPr>
        <w:t>Nótese que frente a dichos requerimientos la parte quejosa ha guardo total silencio, por lo que cabe recordar que, conforme al artículo 3º del Código de Procedimiento Administrativo y de lo Contencioso Administrativo y al artículo 167 del Código General del Proceso, la carga de la prueba en sede administrativa se distribuye dinámicamente entre las partes, en virtud del deber de colaboración y de buena fe, por lo que el ciudadano no puede permanecer pasivo frente a las solicitudes de la autoridad, especialmente cuando estas buscan garantizar sus propios derechos.</w:t>
      </w:r>
    </w:p>
    <w:p w14:paraId="14BFEE56" w14:textId="77777777" w:rsidR="009A6ECE" w:rsidRPr="001D25AC" w:rsidRDefault="009A6ECE">
      <w:pPr>
        <w:widowControl w:val="0"/>
        <w:jc w:val="both"/>
        <w:rPr>
          <w:rFonts w:ascii="Arial" w:eastAsia="Arial" w:hAnsi="Arial" w:cs="Arial"/>
          <w:sz w:val="22"/>
          <w:szCs w:val="22"/>
        </w:rPr>
      </w:pPr>
    </w:p>
    <w:p w14:paraId="14BFEE57" w14:textId="77777777" w:rsidR="009A6ECE" w:rsidRPr="001D25AC" w:rsidRDefault="00EB405F">
      <w:pPr>
        <w:widowControl w:val="0"/>
        <w:jc w:val="both"/>
        <w:rPr>
          <w:rFonts w:ascii="Arial" w:eastAsia="Arial" w:hAnsi="Arial" w:cs="Arial"/>
          <w:sz w:val="22"/>
          <w:szCs w:val="22"/>
        </w:rPr>
      </w:pPr>
      <w:r w:rsidRPr="001D25AC">
        <w:rPr>
          <w:rFonts w:ascii="Arial" w:eastAsia="Arial" w:hAnsi="Arial" w:cs="Arial"/>
          <w:sz w:val="22"/>
          <w:szCs w:val="22"/>
        </w:rPr>
        <w:t>Por lo mencionado, este Despacho encuentra que, si bien es cierto, la obligación de la sociedad enajenadora es la de subsanar los hechos materia de orden de hacer, dicha obligación queda relevada cuando la deficiencia constructiva, es imposible de verificar por la omisión del quejoso, en asistir y pronunciase, frente a los requerimientos de este Despacho. En efecto, de conformidad con el artículo 209 de la Constitución Política, la función administrativa debe desarrollarse bajo los principios de eficacia, economía y celeridad, razón por la cual no resulta procedente mantener abierta una actuación que, por la falta de colaboración del interesado, deviene materialmente imposible de continuar. Pretender la verificación de hechos sin su participación equivaldría a desconocer tales principios y prolongar indebidamente un trámite sin objeto verificable.</w:t>
      </w:r>
    </w:p>
    <w:p w14:paraId="14BFEE58" w14:textId="77777777" w:rsidR="009A6ECE" w:rsidRPr="001D25AC" w:rsidRDefault="009A6ECE">
      <w:pPr>
        <w:widowControl w:val="0"/>
        <w:jc w:val="both"/>
        <w:rPr>
          <w:rFonts w:ascii="Arial" w:eastAsia="Arial" w:hAnsi="Arial" w:cs="Arial"/>
          <w:sz w:val="22"/>
          <w:szCs w:val="22"/>
        </w:rPr>
      </w:pPr>
    </w:p>
    <w:p w14:paraId="14BFEE59" w14:textId="77777777" w:rsidR="009A6ECE" w:rsidRPr="001D25AC" w:rsidRDefault="00EB405F">
      <w:pPr>
        <w:widowControl w:val="0"/>
        <w:jc w:val="both"/>
        <w:rPr>
          <w:rFonts w:ascii="Arial" w:eastAsia="Arial" w:hAnsi="Arial" w:cs="Arial"/>
          <w:sz w:val="22"/>
          <w:szCs w:val="22"/>
        </w:rPr>
      </w:pPr>
      <w:r w:rsidRPr="001D25AC">
        <w:rPr>
          <w:rFonts w:ascii="Arial" w:eastAsia="Arial" w:hAnsi="Arial" w:cs="Arial"/>
          <w:sz w:val="22"/>
          <w:szCs w:val="22"/>
        </w:rPr>
        <w:t xml:space="preserve">En ese orden de ideas, es pertinente hacer referencia al deber de colaboración de los Ciudadanos para el cumplimiento de las órdenes administrativas, al respecto, nuestro ordenamiento jurídico establece: -Numeral 7 del Artículo 95 de la constitución política de Colombia: “Colaborar para el buen funcionamiento de la administración de la justicia”. -Consejo de Estado, Sección tercera, Subsección C, Radicación número: 08001-23-31-000- 1997-13135- 01(32207): “Observa la Sala que según el artículo 95.7 de la Constitución Política es un deber de la persona y del ciudadano colaborar para el buen funcionamiento de la administración de la justicia”. </w:t>
      </w:r>
    </w:p>
    <w:p w14:paraId="14BFEE5A" w14:textId="77777777" w:rsidR="009A6ECE" w:rsidRPr="001D25AC" w:rsidRDefault="009A6ECE">
      <w:pPr>
        <w:widowControl w:val="0"/>
        <w:jc w:val="both"/>
        <w:rPr>
          <w:rFonts w:ascii="Arial" w:eastAsia="Arial" w:hAnsi="Arial" w:cs="Arial"/>
          <w:sz w:val="22"/>
          <w:szCs w:val="22"/>
        </w:rPr>
      </w:pPr>
    </w:p>
    <w:p w14:paraId="14BFEE5B" w14:textId="77777777" w:rsidR="009A6ECE" w:rsidRPr="001D25AC" w:rsidRDefault="00EB405F">
      <w:pPr>
        <w:widowControl w:val="0"/>
        <w:jc w:val="both"/>
        <w:rPr>
          <w:rFonts w:ascii="Arial" w:eastAsia="Arial" w:hAnsi="Arial" w:cs="Arial"/>
          <w:sz w:val="22"/>
          <w:szCs w:val="22"/>
        </w:rPr>
      </w:pPr>
      <w:r w:rsidRPr="001D25AC">
        <w:rPr>
          <w:rFonts w:ascii="Arial" w:eastAsia="Arial" w:hAnsi="Arial" w:cs="Arial"/>
          <w:sz w:val="22"/>
          <w:szCs w:val="22"/>
        </w:rPr>
        <w:t xml:space="preserve">Por otro lado, cabe mencionar que es claro para esta entidad, que es una obligación de la constructora corregir las deficiencias de las construcciones de las viviendas enajenadas y </w:t>
      </w:r>
      <w:r w:rsidRPr="001D25AC">
        <w:rPr>
          <w:rFonts w:ascii="Arial" w:eastAsia="Arial" w:hAnsi="Arial" w:cs="Arial"/>
          <w:sz w:val="22"/>
          <w:szCs w:val="22"/>
        </w:rPr>
        <w:lastRenderedPageBreak/>
        <w:t>cumplir con las condiciones de calidad, adoptando las condiciones técnicas señaladas en la normatividad, estas obras o reparaciones deben ser autorizadas por el quejoso y/o quien se vea afectado. No obstante, de conformidad con lo expuesto en líneas anteriores, este Despacho considera que nos encontramos frente a un caso de imposibilidad para dar cumplimiento a lo ordenado.</w:t>
      </w:r>
    </w:p>
    <w:p w14:paraId="14BFEE5C" w14:textId="77777777" w:rsidR="009A6ECE" w:rsidRPr="001D25AC" w:rsidRDefault="009A6ECE">
      <w:pPr>
        <w:widowControl w:val="0"/>
        <w:jc w:val="both"/>
        <w:rPr>
          <w:rFonts w:ascii="Arial" w:eastAsia="Arial" w:hAnsi="Arial" w:cs="Arial"/>
          <w:sz w:val="22"/>
          <w:szCs w:val="22"/>
        </w:rPr>
      </w:pPr>
    </w:p>
    <w:p w14:paraId="14BFEE5D" w14:textId="0D40CB3D" w:rsidR="009A6ECE" w:rsidRPr="001D25AC" w:rsidRDefault="00EB405F">
      <w:pPr>
        <w:widowControl w:val="0"/>
        <w:jc w:val="both"/>
        <w:rPr>
          <w:rFonts w:ascii="Arial" w:eastAsia="Arial" w:hAnsi="Arial" w:cs="Arial"/>
          <w:color w:val="000000" w:themeColor="text1"/>
          <w:sz w:val="22"/>
          <w:szCs w:val="22"/>
        </w:rPr>
      </w:pPr>
      <w:r w:rsidRPr="001D25AC">
        <w:rPr>
          <w:rFonts w:ascii="Arial" w:eastAsia="Arial" w:hAnsi="Arial" w:cs="Arial"/>
          <w:sz w:val="22"/>
          <w:szCs w:val="22"/>
        </w:rPr>
        <w:t>Así las cosas, este Despacho, ante la renuencia del quejoso, no está obligado a continuar con la verificación de la orden de hacer ante la imposibilidad material para la Administración para dar cumplimiento a sus fun</w:t>
      </w:r>
      <w:r w:rsidRPr="001D25AC">
        <w:rPr>
          <w:rFonts w:ascii="Arial" w:eastAsia="Arial" w:hAnsi="Arial" w:cs="Arial"/>
          <w:color w:val="000000" w:themeColor="text1"/>
          <w:sz w:val="22"/>
          <w:szCs w:val="22"/>
        </w:rPr>
        <w:t xml:space="preserve">ciones, y en este caso puntual, lograr hacer el seguimiento a la orden mediante los mecanismos probatorios con que cuenta este Despacho, los cuales no han sido atendidos por el quejoso, y puesto que los hechos objeto de queja corresponden a zonas </w:t>
      </w:r>
      <w:r w:rsidR="00106E21" w:rsidRPr="001D25AC">
        <w:rPr>
          <w:rFonts w:ascii="Arial" w:eastAsia="Arial" w:hAnsi="Arial" w:cs="Arial"/>
          <w:color w:val="000000" w:themeColor="text1"/>
          <w:sz w:val="22"/>
          <w:szCs w:val="22"/>
        </w:rPr>
        <w:t>privadas</w:t>
      </w:r>
      <w:r w:rsidRPr="001D25AC">
        <w:rPr>
          <w:rFonts w:ascii="Arial" w:eastAsia="Arial" w:hAnsi="Arial" w:cs="Arial"/>
          <w:color w:val="000000" w:themeColor="text1"/>
          <w:sz w:val="22"/>
          <w:szCs w:val="22"/>
        </w:rPr>
        <w:t xml:space="preserve">, la no atención por parte de ésta a las solicitudes realizadas por este Despacho, imposibilita la subsanación de los hechos objeto de orden por parte de la enajenadora, contenida en la </w:t>
      </w:r>
      <w:commentRangeStart w:id="21"/>
      <w:r w:rsidRPr="001D25AC">
        <w:rPr>
          <w:rFonts w:ascii="Arial" w:eastAsia="Arial" w:hAnsi="Arial" w:cs="Arial"/>
          <w:color w:val="000000" w:themeColor="text1"/>
          <w:sz w:val="22"/>
          <w:szCs w:val="22"/>
        </w:rPr>
        <w:t>Resolución No. 128 de 22 de febrero de 2022</w:t>
      </w:r>
      <w:commentRangeEnd w:id="21"/>
      <w:r w:rsidR="00326920" w:rsidRPr="001D25AC">
        <w:rPr>
          <w:rStyle w:val="Refdecomentario"/>
          <w:rFonts w:ascii="Arial" w:eastAsia="Arial" w:hAnsi="Arial" w:cs="Arial"/>
          <w:color w:val="000000" w:themeColor="text1"/>
          <w:sz w:val="22"/>
          <w:szCs w:val="22"/>
        </w:rPr>
        <w:commentReference w:id="21"/>
      </w:r>
      <w:r w:rsidRPr="001D25AC">
        <w:rPr>
          <w:rFonts w:ascii="Arial" w:eastAsia="Arial" w:hAnsi="Arial" w:cs="Arial"/>
          <w:color w:val="000000" w:themeColor="text1"/>
          <w:sz w:val="22"/>
          <w:szCs w:val="22"/>
        </w:rPr>
        <w:t>, "</w:t>
      </w:r>
      <w:r w:rsidRPr="001D25AC">
        <w:rPr>
          <w:rFonts w:ascii="Arial" w:eastAsia="Arial" w:hAnsi="Arial" w:cs="Arial"/>
          <w:i/>
          <w:iCs/>
          <w:color w:val="000000" w:themeColor="text1"/>
          <w:sz w:val="22"/>
          <w:szCs w:val="22"/>
        </w:rPr>
        <w:t>Por la cual se impone una sanción y se imparte una orden</w:t>
      </w:r>
      <w:r w:rsidRPr="001D25AC">
        <w:rPr>
          <w:rFonts w:ascii="Arial" w:eastAsia="Arial" w:hAnsi="Arial" w:cs="Arial"/>
          <w:color w:val="000000" w:themeColor="text1"/>
          <w:sz w:val="22"/>
          <w:szCs w:val="22"/>
        </w:rPr>
        <w:t xml:space="preserve">". </w:t>
      </w:r>
    </w:p>
    <w:p w14:paraId="14BFEE5E" w14:textId="77777777" w:rsidR="009A6ECE" w:rsidRPr="001D25AC" w:rsidRDefault="009A6ECE">
      <w:pPr>
        <w:widowControl w:val="0"/>
        <w:jc w:val="both"/>
        <w:rPr>
          <w:rFonts w:ascii="Arial" w:eastAsia="Arial" w:hAnsi="Arial" w:cs="Arial"/>
          <w:sz w:val="22"/>
          <w:szCs w:val="22"/>
        </w:rPr>
      </w:pPr>
    </w:p>
    <w:p w14:paraId="14BFEE5F" w14:textId="77777777" w:rsidR="009A6ECE" w:rsidRPr="001D25AC" w:rsidRDefault="00EB405F">
      <w:pPr>
        <w:widowControl w:val="0"/>
        <w:jc w:val="both"/>
        <w:rPr>
          <w:rFonts w:ascii="Arial" w:eastAsia="Arial" w:hAnsi="Arial" w:cs="Arial"/>
          <w:sz w:val="22"/>
          <w:szCs w:val="22"/>
        </w:rPr>
      </w:pPr>
      <w:r w:rsidRPr="001D25AC">
        <w:rPr>
          <w:rFonts w:ascii="Arial" w:eastAsia="Arial" w:hAnsi="Arial" w:cs="Arial"/>
          <w:sz w:val="22"/>
          <w:szCs w:val="22"/>
        </w:rPr>
        <w:t xml:space="preserve">Por otro lado, es preciso señalar que en cada una de las actuaciones adelantadas se le han dado todas las garantías tanto al enajenador como a la parte querellante en el transcurso de la investigación, respetando el debido proceso (Art. 29 de la C.N.), el cual debe ser observado en todo tipo de actuaciones administrativas; para una mayor claridad al respecto la Corte Constitucional ha expuesto en numerosas jurisprudencias el alcance del principio constitucional del debido proceso. </w:t>
      </w:r>
    </w:p>
    <w:p w14:paraId="14BFEE60" w14:textId="77777777" w:rsidR="009A6ECE" w:rsidRPr="001D25AC" w:rsidRDefault="009A6ECE">
      <w:pPr>
        <w:widowControl w:val="0"/>
        <w:jc w:val="both"/>
        <w:rPr>
          <w:rFonts w:ascii="Arial" w:eastAsia="Arial" w:hAnsi="Arial" w:cs="Arial"/>
          <w:sz w:val="22"/>
          <w:szCs w:val="22"/>
        </w:rPr>
      </w:pPr>
    </w:p>
    <w:p w14:paraId="14BFEE61" w14:textId="31B3A4B7" w:rsidR="009A6ECE" w:rsidRPr="001D25AC" w:rsidRDefault="00EB405F">
      <w:pPr>
        <w:widowControl w:val="0"/>
        <w:jc w:val="both"/>
        <w:rPr>
          <w:rFonts w:ascii="Arial" w:eastAsia="Arial" w:hAnsi="Arial" w:cs="Arial"/>
          <w:sz w:val="22"/>
          <w:szCs w:val="22"/>
        </w:rPr>
      </w:pPr>
      <w:r w:rsidRPr="001D25AC">
        <w:rPr>
          <w:rFonts w:ascii="Arial" w:eastAsia="Arial" w:hAnsi="Arial" w:cs="Arial"/>
          <w:sz w:val="22"/>
          <w:szCs w:val="22"/>
        </w:rPr>
        <w:t xml:space="preserve">En efecto, para que esta Subdirección proceda a eliminar o eximir a un vigilado del cumplimiento de una orden de hacer en virtud a la falta de colaboración por parte del quejoso aun a sabiendas de que su </w:t>
      </w:r>
      <w:commentRangeStart w:id="22"/>
      <w:r w:rsidRPr="001D25AC">
        <w:rPr>
          <w:rFonts w:ascii="Arial" w:eastAsia="Arial" w:hAnsi="Arial" w:cs="Arial"/>
          <w:sz w:val="22"/>
          <w:szCs w:val="22"/>
        </w:rPr>
        <w:t xml:space="preserve">silencio era causal de entenderse por cumplida la orden de acuerdo tal y como se manifestó en el radicado </w:t>
      </w:r>
      <w:r w:rsidR="00F927C0">
        <w:rPr>
          <w:rFonts w:ascii="Arial" w:eastAsia="Arial" w:hAnsi="Arial" w:cs="Arial"/>
          <w:sz w:val="22"/>
          <w:szCs w:val="22"/>
        </w:rPr>
        <w:t>1-2025-575 del 1 de octubre de 2025</w:t>
      </w:r>
      <w:r w:rsidRPr="001D25AC">
        <w:rPr>
          <w:rFonts w:ascii="Arial" w:eastAsia="Arial" w:hAnsi="Arial" w:cs="Arial"/>
          <w:sz w:val="22"/>
          <w:szCs w:val="22"/>
        </w:rPr>
        <w:t xml:space="preserve">, que refirió lo siguiente: solicito a la parte quejosa informaran los motivos de su inasistencia en el término de diez (10) días, en caso de no hacerlo </w:t>
      </w:r>
      <w:commentRangeEnd w:id="22"/>
      <w:r w:rsidR="00326920" w:rsidRPr="001D25AC">
        <w:rPr>
          <w:rStyle w:val="Refdecomentario"/>
          <w:rFonts w:ascii="Arial" w:eastAsia="Arial" w:hAnsi="Arial" w:cs="Arial"/>
          <w:sz w:val="22"/>
          <w:szCs w:val="22"/>
        </w:rPr>
        <w:commentReference w:id="22"/>
      </w:r>
      <w:r w:rsidRPr="001D25AC">
        <w:rPr>
          <w:rFonts w:ascii="Arial" w:eastAsia="Arial" w:hAnsi="Arial" w:cs="Arial"/>
          <w:sz w:val="22"/>
          <w:szCs w:val="22"/>
        </w:rPr>
        <w:t>se entendería por cumplida la orden, requerimiento del cual no se recibió respuesta alguna luego de ser notificado, y aun así guardo silencio.</w:t>
      </w:r>
    </w:p>
    <w:p w14:paraId="14BFEE62" w14:textId="77777777" w:rsidR="009A6ECE" w:rsidRPr="001D25AC" w:rsidRDefault="009A6ECE">
      <w:pPr>
        <w:widowControl w:val="0"/>
        <w:jc w:val="both"/>
        <w:rPr>
          <w:rFonts w:ascii="Arial" w:eastAsia="Arial" w:hAnsi="Arial" w:cs="Arial"/>
          <w:sz w:val="22"/>
          <w:szCs w:val="22"/>
        </w:rPr>
      </w:pPr>
    </w:p>
    <w:p w14:paraId="14BFEE63" w14:textId="77777777" w:rsidR="009A6ECE" w:rsidRPr="001D25AC" w:rsidRDefault="00EB405F">
      <w:pPr>
        <w:widowControl w:val="0"/>
        <w:jc w:val="both"/>
        <w:rPr>
          <w:rFonts w:ascii="Arial" w:eastAsia="Arial" w:hAnsi="Arial" w:cs="Arial"/>
          <w:sz w:val="22"/>
          <w:szCs w:val="22"/>
        </w:rPr>
      </w:pPr>
      <w:r w:rsidRPr="001D25AC">
        <w:rPr>
          <w:rFonts w:ascii="Arial" w:eastAsia="Arial" w:hAnsi="Arial" w:cs="Arial"/>
          <w:sz w:val="22"/>
          <w:szCs w:val="22"/>
        </w:rPr>
        <w:t>Debe recordarse que, conforme al artículo 3º del Código de Procedimiento Administrativo y de lo Contencioso Administrativo y al artículo 167 del Código General del Proceso, la carga de la prueba en sede administrativa se distribuye dinámicamente entre las partes, en virtud del deber de colaboración y de buena fe, por lo que el ciudadano no puede permanecer pasivo frente a las solicitudes de la autoridad, especialmente cuando estas buscan garantizar sus propios derechos.</w:t>
      </w:r>
    </w:p>
    <w:p w14:paraId="14BFEE64" w14:textId="77777777" w:rsidR="009A6ECE" w:rsidRPr="001D25AC" w:rsidRDefault="009A6ECE">
      <w:pPr>
        <w:widowControl w:val="0"/>
        <w:jc w:val="both"/>
        <w:rPr>
          <w:rFonts w:ascii="Arial" w:eastAsia="Arial" w:hAnsi="Arial" w:cs="Arial"/>
          <w:sz w:val="22"/>
          <w:szCs w:val="22"/>
        </w:rPr>
      </w:pPr>
    </w:p>
    <w:p w14:paraId="14BFEE65" w14:textId="77777777" w:rsidR="009A6ECE" w:rsidRPr="001D25AC" w:rsidRDefault="00EB405F">
      <w:pPr>
        <w:widowControl w:val="0"/>
        <w:jc w:val="both"/>
        <w:rPr>
          <w:rFonts w:ascii="Arial" w:eastAsia="Arial" w:hAnsi="Arial" w:cs="Arial"/>
          <w:color w:val="000000" w:themeColor="text1"/>
          <w:sz w:val="22"/>
          <w:szCs w:val="22"/>
        </w:rPr>
      </w:pPr>
      <w:r w:rsidRPr="001D25AC">
        <w:rPr>
          <w:rFonts w:ascii="Arial" w:hAnsi="Arial" w:cs="Arial"/>
          <w:sz w:val="22"/>
          <w:szCs w:val="22"/>
        </w:rPr>
        <w:t xml:space="preserve">Visto lo anterior, en aplicación del principio de la buena fe y la valoración conjunta de las afirmaciones y soportes allegados al plenario, aplicando un razonamiento lógico, equitativo y de la experiencia como juicios de valor generales y relativos sobre la verdad, es decir bajo las reglas de la “sana crítica”, no queda otro camino que el de culminar el proceso que acá nos atañe habiéndose agotado los mecanismos de verificación y no existiendo elementos </w:t>
      </w:r>
      <w:r w:rsidRPr="001D25AC">
        <w:rPr>
          <w:rFonts w:ascii="Arial" w:hAnsi="Arial" w:cs="Arial"/>
          <w:sz w:val="22"/>
          <w:szCs w:val="22"/>
        </w:rPr>
        <w:lastRenderedPageBreak/>
        <w:t xml:space="preserve">que permitan continuar con la actuación por causas atribuibles al silencio del quejoso, no sin antes recordarle a la enajenadora </w:t>
      </w:r>
      <w:commentRangeStart w:id="23"/>
      <w:r w:rsidRPr="001D25AC">
        <w:rPr>
          <w:rFonts w:ascii="Arial" w:hAnsi="Arial" w:cs="Arial"/>
          <w:sz w:val="22"/>
          <w:szCs w:val="22"/>
        </w:rPr>
        <w:t xml:space="preserve">URBANIZADORA MARIN VALENCIA S.A., </w:t>
      </w:r>
      <w:commentRangeEnd w:id="23"/>
      <w:r w:rsidR="00326920" w:rsidRPr="001D25AC">
        <w:rPr>
          <w:rStyle w:val="Refdecomentario"/>
          <w:rFonts w:ascii="Arial" w:hAnsi="Arial" w:cs="Arial"/>
          <w:sz w:val="22"/>
          <w:szCs w:val="22"/>
        </w:rPr>
        <w:commentReference w:id="23"/>
      </w:r>
      <w:r w:rsidRPr="001D25AC">
        <w:rPr>
          <w:rFonts w:ascii="Arial" w:hAnsi="Arial" w:cs="Arial"/>
          <w:sz w:val="22"/>
          <w:szCs w:val="22"/>
        </w:rPr>
        <w:t>la importancia de dar cumplimiento a las obligaciones señaladas en la norma y a las órdenes emitidas por este Despacho, así como al quejoso el deber de colaboración con las actuaciones necesarias para la verificación y cumplimiento de dichas órdenes.</w:t>
      </w:r>
    </w:p>
    <w:p w14:paraId="14BFEE66" w14:textId="77777777" w:rsidR="009A6ECE" w:rsidRPr="001D25AC" w:rsidRDefault="009A6ECE">
      <w:pPr>
        <w:widowControl w:val="0"/>
        <w:jc w:val="both"/>
        <w:rPr>
          <w:rFonts w:ascii="Arial" w:eastAsia="Arial" w:hAnsi="Arial" w:cs="Arial"/>
          <w:sz w:val="22"/>
          <w:szCs w:val="22"/>
        </w:rPr>
      </w:pPr>
    </w:p>
    <w:p w14:paraId="14BFEE67" w14:textId="6BBFB7C4" w:rsidR="009A6ECE" w:rsidRPr="001D25AC" w:rsidRDefault="00EB405F">
      <w:pPr>
        <w:widowControl w:val="0"/>
        <w:jc w:val="both"/>
        <w:rPr>
          <w:rFonts w:ascii="Arial" w:eastAsia="Arial" w:hAnsi="Arial" w:cs="Arial"/>
          <w:sz w:val="22"/>
          <w:szCs w:val="22"/>
        </w:rPr>
      </w:pPr>
      <w:r w:rsidRPr="001D25AC">
        <w:rPr>
          <w:rFonts w:ascii="Arial" w:eastAsia="Arial" w:hAnsi="Arial" w:cs="Arial"/>
          <w:sz w:val="22"/>
          <w:szCs w:val="22"/>
        </w:rPr>
        <w:t xml:space="preserve">En consecuencia, por las razones que se acaban de señalar, y en ejercicio de las facultades de Inspección, Vigilancia y Control respecto a los enajenadores de vivienda, concernientes a este </w:t>
      </w:r>
      <w:r w:rsidRPr="001D25AC">
        <w:rPr>
          <w:rFonts w:ascii="Arial" w:eastAsia="Arial" w:hAnsi="Arial" w:cs="Arial"/>
          <w:color w:val="000000" w:themeColor="text1"/>
          <w:sz w:val="22"/>
          <w:szCs w:val="22"/>
        </w:rPr>
        <w:t>Despacho, no es procedente continuar adelantando las actuaciones administrativas relacionadas con la verificación de la orden establecida en la Resolución No</w:t>
      </w:r>
      <w:r w:rsidRPr="00F927C0">
        <w:rPr>
          <w:rFonts w:ascii="Arial" w:eastAsia="Arial" w:hAnsi="Arial" w:cs="Arial"/>
          <w:b/>
          <w:bCs/>
          <w:color w:val="000000" w:themeColor="text1"/>
          <w:sz w:val="22"/>
          <w:szCs w:val="22"/>
        </w:rPr>
        <w:t>.</w:t>
      </w:r>
      <w:r w:rsidR="00F927C0" w:rsidRPr="00F927C0">
        <w:rPr>
          <w:rStyle w:val="Fuerte"/>
          <w:rFonts w:ascii="Arial" w:hAnsi="Arial" w:cs="Arial"/>
          <w:b w:val="0"/>
          <w:bCs w:val="0"/>
          <w:color w:val="0D0D0D"/>
          <w:sz w:val="22"/>
          <w:szCs w:val="22"/>
        </w:rPr>
        <w:t xml:space="preserve"> Resolución No. 1800 del 09 de septiembre de 2019</w:t>
      </w:r>
      <w:r w:rsidRPr="001D25AC">
        <w:rPr>
          <w:rFonts w:ascii="Arial" w:eastAsia="Arial" w:hAnsi="Arial" w:cs="Arial"/>
          <w:color w:val="000000" w:themeColor="text1"/>
          <w:sz w:val="22"/>
          <w:szCs w:val="22"/>
        </w:rPr>
        <w:t>, "</w:t>
      </w:r>
      <w:r w:rsidRPr="001D25AC">
        <w:rPr>
          <w:rFonts w:ascii="Arial" w:eastAsia="Arial" w:hAnsi="Arial" w:cs="Arial"/>
          <w:i/>
          <w:iCs/>
          <w:color w:val="000000" w:themeColor="text1"/>
          <w:sz w:val="22"/>
          <w:szCs w:val="22"/>
        </w:rPr>
        <w:t>Por la cual se impone una sanción y se imparte una orden</w:t>
      </w:r>
      <w:r w:rsidRPr="001D25AC">
        <w:rPr>
          <w:rFonts w:ascii="Arial" w:eastAsia="Arial" w:hAnsi="Arial" w:cs="Arial"/>
          <w:color w:val="000000" w:themeColor="text1"/>
          <w:sz w:val="22"/>
          <w:szCs w:val="22"/>
        </w:rPr>
        <w:t>", por lo que, de conformidad con las razones antes expuestas, se dará por terminada la presente actuación.</w:t>
      </w:r>
    </w:p>
    <w:p w14:paraId="14BFEE68" w14:textId="77777777" w:rsidR="009A6ECE" w:rsidRPr="001D25AC" w:rsidRDefault="009A6ECE">
      <w:pPr>
        <w:widowControl w:val="0"/>
        <w:jc w:val="both"/>
        <w:rPr>
          <w:rFonts w:ascii="Arial" w:eastAsia="Arial" w:hAnsi="Arial" w:cs="Arial"/>
          <w:sz w:val="22"/>
          <w:szCs w:val="22"/>
        </w:rPr>
      </w:pPr>
    </w:p>
    <w:p w14:paraId="14BFEE69" w14:textId="77777777" w:rsidR="009A6ECE" w:rsidRPr="001D25AC" w:rsidRDefault="00EB405F">
      <w:pPr>
        <w:widowControl w:val="0"/>
        <w:jc w:val="both"/>
        <w:rPr>
          <w:rFonts w:ascii="Arial" w:eastAsia="Arial" w:hAnsi="Arial" w:cs="Arial"/>
          <w:sz w:val="22"/>
          <w:szCs w:val="22"/>
        </w:rPr>
      </w:pPr>
      <w:r w:rsidRPr="001D25AC">
        <w:rPr>
          <w:rFonts w:ascii="Arial" w:eastAsia="Arial" w:hAnsi="Arial" w:cs="Arial"/>
          <w:sz w:val="22"/>
          <w:szCs w:val="22"/>
        </w:rPr>
        <w:t>En mérito de lo expuesto, este Despacho,</w:t>
      </w:r>
    </w:p>
    <w:p w14:paraId="14BFEE6A" w14:textId="77777777" w:rsidR="009A6ECE" w:rsidRPr="001D25AC" w:rsidRDefault="009A6ECE">
      <w:pPr>
        <w:widowControl w:val="0"/>
        <w:jc w:val="both"/>
        <w:rPr>
          <w:rFonts w:ascii="Arial" w:eastAsia="Arial" w:hAnsi="Arial" w:cs="Arial"/>
          <w:sz w:val="22"/>
          <w:szCs w:val="22"/>
        </w:rPr>
      </w:pPr>
    </w:p>
    <w:p w14:paraId="14BFEE6B" w14:textId="77777777" w:rsidR="009A6ECE" w:rsidRPr="001D25AC" w:rsidRDefault="00EB405F">
      <w:pPr>
        <w:widowControl w:val="0"/>
        <w:jc w:val="center"/>
        <w:rPr>
          <w:rFonts w:ascii="Arial" w:eastAsia="Arial" w:hAnsi="Arial" w:cs="Arial"/>
          <w:b/>
          <w:bCs/>
          <w:sz w:val="22"/>
          <w:szCs w:val="22"/>
        </w:rPr>
      </w:pPr>
      <w:r w:rsidRPr="001D25AC">
        <w:rPr>
          <w:rFonts w:ascii="Arial" w:eastAsia="Arial" w:hAnsi="Arial" w:cs="Arial"/>
          <w:b/>
          <w:bCs/>
          <w:sz w:val="22"/>
          <w:szCs w:val="22"/>
        </w:rPr>
        <w:t>RESUELVE:</w:t>
      </w:r>
    </w:p>
    <w:p w14:paraId="14BFEE6C" w14:textId="77777777" w:rsidR="009A6ECE" w:rsidRPr="001D25AC" w:rsidRDefault="009A6ECE">
      <w:pPr>
        <w:widowControl w:val="0"/>
        <w:jc w:val="both"/>
        <w:rPr>
          <w:rFonts w:ascii="Arial" w:eastAsia="Arial" w:hAnsi="Arial" w:cs="Arial"/>
          <w:sz w:val="22"/>
          <w:szCs w:val="22"/>
        </w:rPr>
      </w:pPr>
    </w:p>
    <w:p w14:paraId="14BFEE6D" w14:textId="55AEC188" w:rsidR="009A6ECE" w:rsidRPr="001D25AC" w:rsidRDefault="00EB405F">
      <w:pPr>
        <w:widowControl w:val="0"/>
        <w:jc w:val="both"/>
        <w:rPr>
          <w:rFonts w:ascii="Arial" w:eastAsia="Arial" w:hAnsi="Arial" w:cs="Arial"/>
          <w:sz w:val="22"/>
          <w:szCs w:val="22"/>
        </w:rPr>
      </w:pPr>
      <w:commentRangeStart w:id="24"/>
      <w:r w:rsidRPr="001D25AC">
        <w:rPr>
          <w:rFonts w:ascii="Arial" w:hAnsi="Arial" w:cs="Arial"/>
          <w:sz w:val="22"/>
          <w:szCs w:val="22"/>
        </w:rPr>
        <w:t xml:space="preserve">ARTÍCULO PRIMERO. Declárase culminada la actuación administrativa relacionada con la verificación del cumplimiento de la orden de hacer impuesta a la sociedad enajenadora URBANIZADORA MARIN VALENCIA S.A., identificada con NIT. 830.012.053-3, representada legalmente por la señora RAFAEL AUGUSTO MARÍN VALENCIA (o </w:t>
      </w:r>
      <w:commentRangeEnd w:id="24"/>
      <w:r w:rsidR="00326920" w:rsidRPr="001D25AC">
        <w:rPr>
          <w:rStyle w:val="Refdecomentario"/>
          <w:rFonts w:ascii="Arial" w:hAnsi="Arial" w:cs="Arial"/>
          <w:sz w:val="22"/>
          <w:szCs w:val="22"/>
        </w:rPr>
        <w:commentReference w:id="24"/>
      </w:r>
      <w:r w:rsidRPr="001D25AC">
        <w:rPr>
          <w:rFonts w:ascii="Arial" w:hAnsi="Arial" w:cs="Arial"/>
          <w:sz w:val="22"/>
          <w:szCs w:val="22"/>
        </w:rPr>
        <w:t>quien haga sus veces), en la Resolución No</w:t>
      </w:r>
      <w:r w:rsidR="00F927C0" w:rsidRPr="00D72223">
        <w:rPr>
          <w:rStyle w:val="Fuerte"/>
          <w:rFonts w:ascii="Arial" w:hAnsi="Arial" w:cs="Arial"/>
          <w:color w:val="0D0D0D"/>
          <w:sz w:val="22"/>
          <w:szCs w:val="22"/>
        </w:rPr>
        <w:t xml:space="preserve">. </w:t>
      </w:r>
      <w:r w:rsidR="00F927C0" w:rsidRPr="00F927C0">
        <w:rPr>
          <w:rStyle w:val="Fuerte"/>
          <w:rFonts w:ascii="Arial" w:hAnsi="Arial" w:cs="Arial"/>
          <w:b w:val="0"/>
          <w:bCs w:val="0"/>
          <w:color w:val="0D0D0D"/>
          <w:sz w:val="22"/>
          <w:szCs w:val="22"/>
        </w:rPr>
        <w:t>1800 del 09 de septiembre de 2019</w:t>
      </w:r>
      <w:r w:rsidRPr="00F927C0">
        <w:rPr>
          <w:rFonts w:ascii="Arial" w:hAnsi="Arial" w:cs="Arial"/>
          <w:b/>
          <w:bCs/>
          <w:sz w:val="22"/>
          <w:szCs w:val="22"/>
        </w:rPr>
        <w:t>,</w:t>
      </w:r>
      <w:r w:rsidRPr="001D25AC">
        <w:rPr>
          <w:rFonts w:ascii="Arial" w:hAnsi="Arial" w:cs="Arial"/>
          <w:sz w:val="22"/>
          <w:szCs w:val="22"/>
        </w:rPr>
        <w:t xml:space="preserve"> "Por la cual se impone una sanción y se imparte una orden", por encontrarse plenamente cumplida y subsanados los hechos que dieron lugar a esta, de conformidad con las razones expuestas en la parte motiva del presente Acto Administrativo.  </w:t>
      </w:r>
    </w:p>
    <w:p w14:paraId="14BFEE6E" w14:textId="77777777" w:rsidR="009A6ECE" w:rsidRPr="001D25AC" w:rsidRDefault="009A6ECE">
      <w:pPr>
        <w:widowControl w:val="0"/>
        <w:jc w:val="both"/>
        <w:rPr>
          <w:rFonts w:ascii="Arial" w:eastAsia="Arial" w:hAnsi="Arial" w:cs="Arial"/>
          <w:b/>
          <w:bCs/>
          <w:sz w:val="22"/>
          <w:szCs w:val="22"/>
        </w:rPr>
      </w:pPr>
    </w:p>
    <w:p w14:paraId="14BFEE6F" w14:textId="43DF8F5C" w:rsidR="009A6ECE" w:rsidRPr="001D25AC" w:rsidRDefault="00EB405F">
      <w:pPr>
        <w:jc w:val="both"/>
        <w:rPr>
          <w:rFonts w:ascii="Arial" w:eastAsia="Arial" w:hAnsi="Arial" w:cs="Arial"/>
          <w:sz w:val="22"/>
          <w:szCs w:val="22"/>
        </w:rPr>
      </w:pPr>
      <w:r w:rsidRPr="001D25AC">
        <w:rPr>
          <w:rFonts w:ascii="Arial" w:hAnsi="Arial" w:cs="Arial"/>
          <w:sz w:val="22"/>
          <w:szCs w:val="22"/>
        </w:rPr>
        <w:t xml:space="preserve">ARTICULO SEGUNDO: </w:t>
      </w:r>
      <w:commentRangeStart w:id="25"/>
      <w:r w:rsidRPr="001D25AC">
        <w:rPr>
          <w:rFonts w:ascii="Arial" w:hAnsi="Arial" w:cs="Arial"/>
          <w:sz w:val="22"/>
          <w:szCs w:val="22"/>
        </w:rPr>
        <w:t>Notificar el contenido de la presente Resolución al representante legal y/o al apoderado de la sociedad enajenadora URBANIZADORA MARIN VALENCIA S.A., identificada con NIT. 830.012.053-3, representada legalmente por la señora RAFAEL AUGUSTO MARÍN VALENCIA (o quien haga sus veces), para lo cual deberá enviarse citación para notificación a la dirección Carrera 11A N 190-12 de Bogotá, o, en su defecto, de conformidad con las normas de notificación previstas en la Ley 1437 de 2011.</w:t>
      </w:r>
      <w:commentRangeEnd w:id="25"/>
      <w:r w:rsidR="00326920" w:rsidRPr="001D25AC">
        <w:rPr>
          <w:rStyle w:val="Refdecomentario"/>
          <w:rFonts w:ascii="Arial" w:eastAsia="Arial" w:hAnsi="Arial" w:cs="Arial"/>
          <w:sz w:val="22"/>
          <w:szCs w:val="22"/>
        </w:rPr>
        <w:commentReference w:id="25"/>
      </w:r>
    </w:p>
    <w:p w14:paraId="14BFEE70" w14:textId="77777777" w:rsidR="009A6ECE" w:rsidRPr="001D25AC" w:rsidRDefault="009A6ECE">
      <w:pPr>
        <w:rPr>
          <w:rFonts w:ascii="Arial" w:eastAsia="Arial" w:hAnsi="Arial" w:cs="Arial"/>
          <w:color w:val="000000" w:themeColor="text1"/>
          <w:sz w:val="22"/>
          <w:szCs w:val="22"/>
        </w:rPr>
      </w:pPr>
    </w:p>
    <w:p w14:paraId="14BFEE71" w14:textId="6BA64422" w:rsidR="009A6ECE" w:rsidRPr="001D25AC" w:rsidRDefault="00EB405F">
      <w:pPr>
        <w:jc w:val="both"/>
        <w:rPr>
          <w:rFonts w:ascii="Arial" w:eastAsia="Arial" w:hAnsi="Arial" w:cs="Arial"/>
          <w:color w:val="000000" w:themeColor="text1"/>
          <w:sz w:val="22"/>
          <w:szCs w:val="22"/>
        </w:rPr>
      </w:pPr>
      <w:commentRangeStart w:id="26"/>
      <w:r w:rsidRPr="001D25AC">
        <w:rPr>
          <w:rFonts w:ascii="Arial" w:hAnsi="Arial" w:cs="Arial"/>
          <w:sz w:val="22"/>
          <w:szCs w:val="22"/>
        </w:rPr>
        <w:t xml:space="preserve">ARTÍCULO TERCERO: </w:t>
      </w:r>
      <w:commentRangeEnd w:id="26"/>
      <w:r w:rsidR="00326920" w:rsidRPr="001D25AC">
        <w:rPr>
          <w:rStyle w:val="Refdecomentario"/>
          <w:rFonts w:ascii="Arial" w:hAnsi="Arial" w:cs="Arial"/>
          <w:sz w:val="22"/>
          <w:szCs w:val="22"/>
        </w:rPr>
        <w:commentReference w:id="26"/>
      </w:r>
      <w:r w:rsidRPr="001D25AC">
        <w:rPr>
          <w:rFonts w:ascii="Arial" w:hAnsi="Arial" w:cs="Arial"/>
          <w:sz w:val="22"/>
          <w:szCs w:val="22"/>
        </w:rPr>
        <w:t>Notificar el contenido de esta Resolución al propietario del Apartamento 623 Torre 6 (o quien haga sus veces) del proyecto de vivienda AGRUPACION RESIDENCIAL PRADERA SAN CARLOS - PROPIEDAD HORIZONTAL, para lo cual deberá enviarse citación para notificación personal a la Carrera 141 No.136 A - 75 Sur Apartamento 623 Torre 6 de Bogotá; o, en su defecto, de conformidad con las normas de notificación previstas en la Ley 1437 de 2011.</w:t>
      </w:r>
    </w:p>
    <w:p w14:paraId="14BFEE72" w14:textId="77777777" w:rsidR="009A6ECE" w:rsidRPr="001D25AC" w:rsidRDefault="009A6ECE">
      <w:pPr>
        <w:widowControl w:val="0"/>
        <w:jc w:val="both"/>
        <w:rPr>
          <w:rFonts w:ascii="Arial" w:eastAsia="Arial" w:hAnsi="Arial" w:cs="Arial"/>
          <w:b/>
          <w:bCs/>
          <w:sz w:val="22"/>
          <w:szCs w:val="22"/>
        </w:rPr>
      </w:pPr>
    </w:p>
    <w:p w14:paraId="14BFEE73" w14:textId="77777777" w:rsidR="009A6ECE" w:rsidRPr="001D25AC" w:rsidRDefault="00EB405F">
      <w:pPr>
        <w:widowControl w:val="0"/>
        <w:jc w:val="both"/>
        <w:rPr>
          <w:rFonts w:ascii="Arial" w:eastAsia="Arial" w:hAnsi="Arial" w:cs="Arial"/>
          <w:sz w:val="22"/>
          <w:szCs w:val="22"/>
        </w:rPr>
      </w:pPr>
      <w:r w:rsidRPr="001D25AC">
        <w:rPr>
          <w:rFonts w:ascii="Arial" w:eastAsia="Arial" w:hAnsi="Arial" w:cs="Arial"/>
          <w:b/>
          <w:bCs/>
          <w:sz w:val="22"/>
          <w:szCs w:val="22"/>
        </w:rPr>
        <w:t xml:space="preserve">ARTÍCULO CUARTO: </w:t>
      </w:r>
      <w:r w:rsidRPr="001D25AC">
        <w:rPr>
          <w:rFonts w:ascii="Arial" w:eastAsia="Arial" w:hAnsi="Arial" w:cs="Arial"/>
          <w:sz w:val="22"/>
          <w:szCs w:val="22"/>
        </w:rPr>
        <w:t xml:space="preserve">Contra la presente Resolución procede el recurso de reposición ante este Despacho y el de apelación ante la Subsecretaría de Inspección, Vigilancia y Control de Vivienda de la Secretaría Distrital del Hábitat, los cuales se podrán interponer en la </w:t>
      </w:r>
      <w:r w:rsidRPr="001D25AC">
        <w:rPr>
          <w:rFonts w:ascii="Arial" w:eastAsia="Arial" w:hAnsi="Arial" w:cs="Arial"/>
          <w:sz w:val="22"/>
          <w:szCs w:val="22"/>
        </w:rPr>
        <w:lastRenderedPageBreak/>
        <w:t>diligencia de notificación personal, o dentro de los diez (10) días hábiles siguientes a ella, o a la notificación por aviso, o al vencimiento del término de publicación según el caso, de conformidad con lo dispuesto en el Código de Procedimiento Administrativo y de lo Contencioso Administrativo.</w:t>
      </w:r>
    </w:p>
    <w:p w14:paraId="14BFEE74" w14:textId="77777777" w:rsidR="009A6ECE" w:rsidRPr="001D25AC" w:rsidRDefault="009A6ECE">
      <w:pPr>
        <w:widowControl w:val="0"/>
        <w:jc w:val="both"/>
        <w:rPr>
          <w:rFonts w:ascii="Arial" w:eastAsia="Arial" w:hAnsi="Arial" w:cs="Arial"/>
          <w:b/>
          <w:bCs/>
          <w:sz w:val="22"/>
          <w:szCs w:val="22"/>
        </w:rPr>
      </w:pPr>
    </w:p>
    <w:p w14:paraId="14BFEE75" w14:textId="77777777" w:rsidR="009A6ECE" w:rsidRPr="001D25AC" w:rsidRDefault="00EB405F">
      <w:pPr>
        <w:widowControl w:val="0"/>
        <w:jc w:val="both"/>
        <w:rPr>
          <w:rFonts w:ascii="Arial" w:eastAsia="Arial" w:hAnsi="Arial" w:cs="Arial"/>
          <w:sz w:val="22"/>
          <w:szCs w:val="22"/>
        </w:rPr>
      </w:pPr>
      <w:r w:rsidRPr="001D25AC">
        <w:rPr>
          <w:rFonts w:ascii="Arial" w:eastAsia="Arial" w:hAnsi="Arial" w:cs="Arial"/>
          <w:b/>
          <w:bCs/>
          <w:sz w:val="22"/>
          <w:szCs w:val="22"/>
        </w:rPr>
        <w:t>ARTÍCULO QUINTO.</w:t>
      </w:r>
      <w:r w:rsidRPr="001D25AC">
        <w:rPr>
          <w:rFonts w:ascii="Arial" w:eastAsia="Arial" w:hAnsi="Arial" w:cs="Arial"/>
          <w:sz w:val="22"/>
          <w:szCs w:val="22"/>
        </w:rPr>
        <w:t xml:space="preserve"> Una vez en firme el presente acto administrativo se procederá con su archivo.</w:t>
      </w:r>
    </w:p>
    <w:p w14:paraId="14BFEE76" w14:textId="77777777" w:rsidR="009A6ECE" w:rsidRPr="001D25AC" w:rsidRDefault="009A6ECE">
      <w:pPr>
        <w:widowControl w:val="0"/>
        <w:jc w:val="both"/>
        <w:rPr>
          <w:rFonts w:ascii="Arial" w:eastAsia="Arial" w:hAnsi="Arial" w:cs="Arial"/>
          <w:b/>
          <w:bCs/>
          <w:sz w:val="22"/>
          <w:szCs w:val="22"/>
        </w:rPr>
      </w:pPr>
    </w:p>
    <w:p w14:paraId="14BFEE77" w14:textId="77777777" w:rsidR="009A6ECE" w:rsidRPr="001D25AC" w:rsidRDefault="00EB405F">
      <w:pPr>
        <w:widowControl w:val="0"/>
        <w:jc w:val="both"/>
        <w:rPr>
          <w:rFonts w:ascii="Arial" w:eastAsia="Arial" w:hAnsi="Arial" w:cs="Arial"/>
          <w:sz w:val="22"/>
          <w:szCs w:val="22"/>
        </w:rPr>
      </w:pPr>
      <w:r w:rsidRPr="001D25AC">
        <w:rPr>
          <w:rFonts w:ascii="Arial" w:eastAsia="Arial" w:hAnsi="Arial" w:cs="Arial"/>
          <w:b/>
          <w:bCs/>
          <w:sz w:val="22"/>
          <w:szCs w:val="22"/>
        </w:rPr>
        <w:t xml:space="preserve">ARTÍCULO SEXTO. </w:t>
      </w:r>
      <w:r w:rsidRPr="001D25AC">
        <w:rPr>
          <w:rFonts w:ascii="Arial" w:eastAsia="Arial" w:hAnsi="Arial" w:cs="Arial"/>
          <w:sz w:val="22"/>
          <w:szCs w:val="22"/>
        </w:rPr>
        <w:t>La presente resolución rige a partir de la fecha de su expedición.</w:t>
      </w:r>
    </w:p>
    <w:p w14:paraId="14BFEE78" w14:textId="77777777" w:rsidR="009A6ECE" w:rsidRPr="001D25AC" w:rsidRDefault="009A6ECE">
      <w:pPr>
        <w:widowControl w:val="0"/>
        <w:jc w:val="center"/>
        <w:rPr>
          <w:rFonts w:ascii="Arial" w:eastAsia="Arial" w:hAnsi="Arial" w:cs="Arial"/>
          <w:b/>
          <w:bCs/>
          <w:sz w:val="22"/>
          <w:szCs w:val="22"/>
        </w:rPr>
      </w:pPr>
    </w:p>
    <w:p w14:paraId="14BFEE79" w14:textId="77777777" w:rsidR="009A6ECE" w:rsidRPr="001D25AC" w:rsidRDefault="009A6ECE">
      <w:pPr>
        <w:widowControl w:val="0"/>
        <w:jc w:val="center"/>
        <w:rPr>
          <w:rFonts w:ascii="Arial" w:eastAsia="Arial" w:hAnsi="Arial" w:cs="Arial"/>
          <w:b/>
          <w:bCs/>
          <w:sz w:val="22"/>
          <w:szCs w:val="22"/>
        </w:rPr>
      </w:pPr>
    </w:p>
    <w:p w14:paraId="14BFEE7A" w14:textId="77777777" w:rsidR="009A6ECE" w:rsidRPr="001D25AC" w:rsidRDefault="00EB405F">
      <w:pPr>
        <w:widowControl w:val="0"/>
        <w:jc w:val="center"/>
        <w:rPr>
          <w:rFonts w:ascii="Arial" w:eastAsia="Arial" w:hAnsi="Arial" w:cs="Arial"/>
          <w:b/>
          <w:bCs/>
          <w:sz w:val="22"/>
          <w:szCs w:val="22"/>
        </w:rPr>
      </w:pPr>
      <w:r w:rsidRPr="001D25AC">
        <w:rPr>
          <w:rFonts w:ascii="Arial" w:eastAsia="Arial" w:hAnsi="Arial" w:cs="Arial"/>
          <w:b/>
          <w:bCs/>
          <w:sz w:val="22"/>
          <w:szCs w:val="22"/>
        </w:rPr>
        <w:t>NOTIFÍQUESE, COMUNÍQUESE Y CÚMPLASE.</w:t>
      </w:r>
    </w:p>
    <w:p w14:paraId="14BFEE7B" w14:textId="77777777" w:rsidR="009A6ECE" w:rsidRPr="001D25AC" w:rsidRDefault="009A6ECE">
      <w:pPr>
        <w:widowControl w:val="0"/>
        <w:jc w:val="center"/>
        <w:rPr>
          <w:rFonts w:ascii="Arial" w:eastAsia="Arial" w:hAnsi="Arial" w:cs="Arial"/>
          <w:b/>
          <w:bCs/>
          <w:sz w:val="22"/>
          <w:szCs w:val="22"/>
        </w:rPr>
      </w:pPr>
    </w:p>
    <w:p w14:paraId="14BFEE7C" w14:textId="77777777" w:rsidR="009A6ECE" w:rsidRPr="001D25AC" w:rsidRDefault="009A6ECE">
      <w:pPr>
        <w:widowControl w:val="0"/>
        <w:jc w:val="center"/>
        <w:rPr>
          <w:rFonts w:ascii="Arial" w:eastAsia="Arial" w:hAnsi="Arial" w:cs="Arial"/>
          <w:b/>
          <w:bCs/>
          <w:sz w:val="22"/>
          <w:szCs w:val="22"/>
        </w:rPr>
      </w:pPr>
    </w:p>
    <w:p w14:paraId="14BFEE7D" w14:textId="77777777" w:rsidR="009A6ECE" w:rsidRPr="001D25AC" w:rsidRDefault="009A6ECE">
      <w:pPr>
        <w:widowControl w:val="0"/>
        <w:rPr>
          <w:rFonts w:ascii="Arial" w:eastAsia="Arial" w:hAnsi="Arial" w:cs="Arial"/>
          <w:b/>
          <w:bCs/>
          <w:sz w:val="22"/>
          <w:szCs w:val="22"/>
        </w:rPr>
      </w:pPr>
    </w:p>
    <w:p w14:paraId="14BFEE7E" w14:textId="77777777" w:rsidR="009A6ECE" w:rsidRPr="001D25AC" w:rsidRDefault="009A6ECE">
      <w:pPr>
        <w:widowControl w:val="0"/>
        <w:jc w:val="both"/>
        <w:rPr>
          <w:rFonts w:ascii="Arial" w:eastAsia="Arial" w:hAnsi="Arial" w:cs="Arial"/>
          <w:sz w:val="22"/>
          <w:szCs w:val="22"/>
        </w:rPr>
      </w:pPr>
    </w:p>
    <w:p w14:paraId="14BFEE7F" w14:textId="77777777" w:rsidR="009A6ECE" w:rsidRPr="001D25AC" w:rsidRDefault="00EB405F">
      <w:pPr>
        <w:widowControl w:val="0"/>
        <w:jc w:val="center"/>
        <w:rPr>
          <w:rFonts w:ascii="Arial" w:eastAsia="Arial" w:hAnsi="Arial" w:cs="Arial"/>
          <w:b/>
          <w:bCs/>
          <w:sz w:val="22"/>
          <w:szCs w:val="22"/>
        </w:rPr>
      </w:pPr>
      <w:r w:rsidRPr="001D25AC">
        <w:rPr>
          <w:rFonts w:ascii="Arial" w:eastAsia="Arial" w:hAnsi="Arial" w:cs="Arial"/>
          <w:b/>
          <w:bCs/>
          <w:sz w:val="22"/>
          <w:szCs w:val="22"/>
        </w:rPr>
        <w:t>JAZMÍN ROCÍO OROZCO RODRÍGUEZ</w:t>
      </w:r>
    </w:p>
    <w:p w14:paraId="14BFEE80" w14:textId="77777777" w:rsidR="009A6ECE" w:rsidRPr="001D25AC" w:rsidRDefault="00EB405F">
      <w:pPr>
        <w:widowControl w:val="0"/>
        <w:jc w:val="center"/>
        <w:rPr>
          <w:rFonts w:ascii="Arial" w:eastAsia="Arial" w:hAnsi="Arial" w:cs="Arial"/>
          <w:b/>
          <w:bCs/>
          <w:sz w:val="22"/>
          <w:szCs w:val="22"/>
        </w:rPr>
      </w:pPr>
      <w:r w:rsidRPr="001D25AC">
        <w:rPr>
          <w:rFonts w:ascii="Arial" w:eastAsia="Arial" w:hAnsi="Arial" w:cs="Arial"/>
          <w:b/>
          <w:bCs/>
          <w:sz w:val="22"/>
          <w:szCs w:val="22"/>
        </w:rPr>
        <w:t>Directora de Investigaciones y Control de Vivienda</w:t>
      </w:r>
    </w:p>
    <w:p w14:paraId="14BFEE81" w14:textId="77777777" w:rsidR="009A6ECE" w:rsidRPr="001D25AC" w:rsidRDefault="009A6ECE">
      <w:pPr>
        <w:widowControl w:val="0"/>
        <w:jc w:val="both"/>
        <w:rPr>
          <w:rFonts w:ascii="Arial" w:eastAsia="Arial" w:hAnsi="Arial" w:cs="Arial"/>
          <w:i/>
          <w:iCs/>
          <w:sz w:val="22"/>
          <w:szCs w:val="22"/>
        </w:rPr>
      </w:pPr>
    </w:p>
    <w:p w14:paraId="14BFEE82" w14:textId="1FA54F92" w:rsidR="009A6ECE" w:rsidRPr="001D25AC" w:rsidRDefault="00EB405F">
      <w:pPr>
        <w:jc w:val="both"/>
        <w:rPr>
          <w:rFonts w:ascii="Arial" w:eastAsia="Arial" w:hAnsi="Arial" w:cs="Arial"/>
          <w:i/>
          <w:iCs/>
          <w:sz w:val="16"/>
          <w:szCs w:val="16"/>
        </w:rPr>
      </w:pPr>
      <w:r w:rsidRPr="001D25AC">
        <w:rPr>
          <w:rFonts w:ascii="Arial" w:eastAsia="Arial" w:hAnsi="Arial" w:cs="Arial"/>
          <w:i/>
          <w:iCs/>
          <w:sz w:val="16"/>
          <w:szCs w:val="16"/>
        </w:rPr>
        <w:t xml:space="preserve">Proyectó: </w:t>
      </w:r>
      <w:r w:rsidR="00F927C0">
        <w:rPr>
          <w:rFonts w:ascii="Arial" w:eastAsia="Arial" w:hAnsi="Arial" w:cs="Arial"/>
          <w:i/>
          <w:iCs/>
          <w:sz w:val="16"/>
          <w:szCs w:val="16"/>
        </w:rPr>
        <w:t>Gerardo Moreu Pineda</w:t>
      </w:r>
      <w:r w:rsidRPr="001D25AC">
        <w:rPr>
          <w:rFonts w:ascii="Arial" w:eastAsia="Arial" w:hAnsi="Arial" w:cs="Arial"/>
          <w:i/>
          <w:iCs/>
          <w:sz w:val="16"/>
          <w:szCs w:val="16"/>
        </w:rPr>
        <w:t xml:space="preserve"> - Abogado Contratista – DICV</w:t>
      </w:r>
    </w:p>
    <w:p w14:paraId="14BFEE83" w14:textId="77777777" w:rsidR="009A6ECE" w:rsidRPr="001D25AC" w:rsidRDefault="00EB405F">
      <w:pPr>
        <w:jc w:val="both"/>
        <w:rPr>
          <w:rFonts w:ascii="Arial" w:eastAsia="Arial" w:hAnsi="Arial" w:cs="Arial"/>
          <w:i/>
          <w:iCs/>
          <w:sz w:val="16"/>
          <w:szCs w:val="16"/>
        </w:rPr>
      </w:pPr>
      <w:r w:rsidRPr="001D25AC">
        <w:rPr>
          <w:rFonts w:ascii="Arial" w:eastAsia="Arial" w:hAnsi="Arial" w:cs="Arial"/>
          <w:i/>
          <w:iCs/>
          <w:sz w:val="16"/>
          <w:szCs w:val="16"/>
        </w:rPr>
        <w:t xml:space="preserve">Revisó: Mauricio Hernández Beltrán – Abogado Contratista – DICV </w:t>
      </w:r>
    </w:p>
    <w:p w14:paraId="14BFEE85" w14:textId="77777777" w:rsidR="009A6ECE" w:rsidRPr="001D25AC" w:rsidRDefault="009A6ECE">
      <w:pPr>
        <w:pBdr>
          <w:top w:val="nil"/>
          <w:left w:val="nil"/>
          <w:bottom w:val="nil"/>
          <w:right w:val="nil"/>
          <w:between w:val="nil"/>
        </w:pBdr>
        <w:rPr>
          <w:rFonts w:ascii="Arial" w:eastAsia="Arial" w:hAnsi="Arial" w:cs="Arial"/>
          <w:b/>
          <w:bCs/>
          <w:sz w:val="22"/>
          <w:szCs w:val="22"/>
        </w:rPr>
      </w:pPr>
    </w:p>
    <w:sectPr w:rsidR="009A6ECE" w:rsidRPr="001D25AC">
      <w:headerReference w:type="default" r:id="rId12"/>
      <w:footerReference w:type="default" r:id="rId13"/>
      <w:pgSz w:w="12240" w:h="15840"/>
      <w:pgMar w:top="1417" w:right="1701" w:bottom="1417" w:left="1701" w:header="708" w:footer="708" w:gutter="0"/>
      <w:pgNumType w:start="1"/>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3" w:author="Mauricio Hernandez Beltran" w:date="2026-03-20T11:44:00Z" w:initials="MH">
    <w:p w14:paraId="64A32C7A" w14:textId="77777777" w:rsidR="00581D52" w:rsidRDefault="00581D52" w:rsidP="00581D52">
      <w:pPr>
        <w:pStyle w:val="Textocomentario"/>
      </w:pPr>
      <w:r>
        <w:rPr>
          <w:rStyle w:val="Refdecomentario"/>
        </w:rPr>
        <w:annotationRef/>
      </w:r>
      <w:r>
        <w:rPr>
          <w:lang w:val="es-CO"/>
        </w:rPr>
        <w:t>Esto no corresponde a la verdad del expediente es por un memorando no por queja de esa señora</w:t>
      </w:r>
    </w:p>
  </w:comment>
  <w:comment w:id="4" w:author="Mauricio Hernandez Beltran" w:date="2026-03-20T11:46:00Z" w:initials="MH">
    <w:p w14:paraId="4E2515D4" w14:textId="77777777" w:rsidR="00581D52" w:rsidRDefault="00581D52" w:rsidP="00581D52">
      <w:pPr>
        <w:pStyle w:val="Textocomentario"/>
      </w:pPr>
      <w:r>
        <w:rPr>
          <w:rStyle w:val="Refdecomentario"/>
        </w:rPr>
        <w:annotationRef/>
      </w:r>
      <w:r>
        <w:rPr>
          <w:lang w:val="es-CO"/>
        </w:rPr>
        <w:t xml:space="preserve">Asi no se llama el enajenador, por favor verificar el RUES </w:t>
      </w:r>
    </w:p>
  </w:comment>
  <w:comment w:id="5" w:author="Mauricio Hernandez Beltran" w:date="2026-03-20T11:47:00Z" w:initials="MH">
    <w:p w14:paraId="545302A2" w14:textId="77777777" w:rsidR="00581D52" w:rsidRDefault="00581D52" w:rsidP="00581D52">
      <w:pPr>
        <w:pStyle w:val="Textocomentario"/>
      </w:pPr>
      <w:r>
        <w:rPr>
          <w:rStyle w:val="Refdecomentario"/>
        </w:rPr>
        <w:annotationRef/>
      </w:r>
      <w:r>
        <w:rPr>
          <w:lang w:val="es-CO"/>
        </w:rPr>
        <w:t>Asi no se llama el enajenador, por favor verificar el RUES</w:t>
      </w:r>
    </w:p>
  </w:comment>
  <w:comment w:id="8" w:author="Mauricio Hernandez Beltran" w:date="2026-03-20T11:47:00Z" w:initials="MH">
    <w:p w14:paraId="6E365613" w14:textId="77777777" w:rsidR="00581D52" w:rsidRDefault="00581D52" w:rsidP="00581D52">
      <w:pPr>
        <w:pStyle w:val="Textocomentario"/>
      </w:pPr>
      <w:r>
        <w:rPr>
          <w:rStyle w:val="Refdecomentario"/>
        </w:rPr>
        <w:annotationRef/>
      </w:r>
      <w:r>
        <w:rPr>
          <w:lang w:val="es-CO"/>
        </w:rPr>
        <w:t xml:space="preserve">Esta no es la resolución </w:t>
      </w:r>
    </w:p>
  </w:comment>
  <w:comment w:id="9" w:author="Mauricio Hernandez Beltran" w:date="2026-03-20T11:50:00Z" w:initials="MH">
    <w:p w14:paraId="321FF8DB" w14:textId="77777777" w:rsidR="00581D52" w:rsidRDefault="00581D52" w:rsidP="00581D52">
      <w:pPr>
        <w:pStyle w:val="Textocomentario"/>
      </w:pPr>
      <w:r>
        <w:rPr>
          <w:rStyle w:val="Refdecomentario"/>
        </w:rPr>
        <w:annotationRef/>
      </w:r>
      <w:r>
        <w:rPr>
          <w:lang w:val="es-CO"/>
        </w:rPr>
        <w:t xml:space="preserve">Así no se llama la sancionada </w:t>
      </w:r>
    </w:p>
  </w:comment>
  <w:comment w:id="10" w:author="Mauricio Hernandez Beltran" w:date="2026-03-20T11:55:00Z" w:initials="MH">
    <w:p w14:paraId="43702A53" w14:textId="77777777" w:rsidR="001939A9" w:rsidRDefault="001939A9" w:rsidP="001939A9">
      <w:pPr>
        <w:pStyle w:val="Textocomentario"/>
      </w:pPr>
      <w:r>
        <w:rPr>
          <w:rStyle w:val="Refdecomentario"/>
        </w:rPr>
        <w:annotationRef/>
      </w:r>
      <w:r>
        <w:rPr>
          <w:lang w:val="es-CO"/>
        </w:rPr>
        <w:t xml:space="preserve">Esta resolución no es </w:t>
      </w:r>
    </w:p>
  </w:comment>
  <w:comment w:id="11" w:author="Mauricio Hernandez Beltran" w:date="2026-03-20T11:55:00Z" w:initials="MH">
    <w:p w14:paraId="4FB59E75" w14:textId="77777777" w:rsidR="001939A9" w:rsidRDefault="001939A9" w:rsidP="001939A9">
      <w:pPr>
        <w:pStyle w:val="Textocomentario"/>
      </w:pPr>
      <w:r>
        <w:rPr>
          <w:rStyle w:val="Refdecomentario"/>
        </w:rPr>
        <w:annotationRef/>
      </w:r>
      <w:r>
        <w:rPr>
          <w:lang w:val="es-CO"/>
        </w:rPr>
        <w:t xml:space="preserve">Esto es una contradicción </w:t>
      </w:r>
    </w:p>
  </w:comment>
  <w:comment w:id="12" w:author="Mauricio Hernandez Beltran" w:date="2026-03-20T11:59:00Z" w:initials="MH">
    <w:p w14:paraId="50D923A1" w14:textId="77777777" w:rsidR="001939A9" w:rsidRDefault="001939A9" w:rsidP="001939A9">
      <w:pPr>
        <w:pStyle w:val="Textocomentario"/>
      </w:pPr>
      <w:r>
        <w:rPr>
          <w:rStyle w:val="Refdecomentario"/>
        </w:rPr>
        <w:annotationRef/>
      </w:r>
      <w:r>
        <w:rPr>
          <w:lang w:val="es-CO"/>
        </w:rPr>
        <w:t>Despues de este hecho falta otro con su acuse de recibido</w:t>
      </w:r>
    </w:p>
  </w:comment>
  <w:comment w:id="13" w:author="Mauricio Hernandez Beltran" w:date="2026-03-20T12:01:00Z" w:initials="MH">
    <w:p w14:paraId="293D3804" w14:textId="77777777" w:rsidR="001939A9" w:rsidRDefault="001939A9" w:rsidP="001939A9">
      <w:pPr>
        <w:pStyle w:val="Textocomentario"/>
      </w:pPr>
      <w:r>
        <w:rPr>
          <w:rStyle w:val="Refdecomentario"/>
        </w:rPr>
        <w:annotationRef/>
      </w:r>
      <w:r>
        <w:rPr>
          <w:lang w:val="es-CO"/>
        </w:rPr>
        <w:t xml:space="preserve">Falta otro radicado donde aduce el cumplimiento de la orden  </w:t>
      </w:r>
    </w:p>
  </w:comment>
  <w:comment w:id="14" w:author="Mauricio Hernandez Beltran" w:date="2026-03-20T12:02:00Z" w:initials="MH">
    <w:p w14:paraId="12C93AF1" w14:textId="5DFFD65C" w:rsidR="001939A9" w:rsidRDefault="001939A9" w:rsidP="001939A9">
      <w:pPr>
        <w:pStyle w:val="Textocomentario"/>
      </w:pPr>
      <w:r>
        <w:rPr>
          <w:rStyle w:val="Refdecomentario"/>
        </w:rPr>
        <w:annotationRef/>
      </w:r>
      <w:r>
        <w:rPr>
          <w:lang w:val="es-CO"/>
        </w:rPr>
        <w:t xml:space="preserve">Fechas de los radicados y resolución para mas claridad </w:t>
      </w:r>
    </w:p>
  </w:comment>
  <w:comment w:id="15" w:author="Mauricio Hernandez Beltran" w:date="2026-03-20T12:03:00Z" w:initials="MH">
    <w:p w14:paraId="3ACF60AA" w14:textId="77777777" w:rsidR="001939A9" w:rsidRDefault="001939A9" w:rsidP="001939A9">
      <w:pPr>
        <w:pStyle w:val="Textocomentario"/>
      </w:pPr>
      <w:r>
        <w:rPr>
          <w:rStyle w:val="Refdecomentario"/>
        </w:rPr>
        <w:annotationRef/>
      </w:r>
      <w:r>
        <w:rPr>
          <w:lang w:val="es-CO"/>
        </w:rPr>
        <w:t xml:space="preserve">Esto son conclusiones de los argumentos del despacho no es un hechos procesal  </w:t>
      </w:r>
    </w:p>
  </w:comment>
  <w:comment w:id="16" w:author="Mauricio Hernandez Beltran" w:date="2026-03-20T12:04:00Z" w:initials="MH">
    <w:p w14:paraId="76319FD5" w14:textId="77777777" w:rsidR="001939A9" w:rsidRDefault="001939A9" w:rsidP="001939A9">
      <w:pPr>
        <w:pStyle w:val="Textocomentario"/>
      </w:pPr>
      <w:r>
        <w:rPr>
          <w:rStyle w:val="Refdecomentario"/>
        </w:rPr>
        <w:annotationRef/>
      </w:r>
      <w:r>
        <w:rPr>
          <w:lang w:val="es-CO"/>
        </w:rPr>
        <w:t xml:space="preserve">Esto no tiene sentido por el contrario falta el párrafo de competencia del despacho para sancionar o culminar </w:t>
      </w:r>
    </w:p>
  </w:comment>
  <w:comment w:id="17" w:author="Mauricio Hernandez Beltran" w:date="2026-03-20T12:05:00Z" w:initials="MH">
    <w:p w14:paraId="4DA4595D" w14:textId="77777777" w:rsidR="00326920" w:rsidRDefault="00326920" w:rsidP="00326920">
      <w:pPr>
        <w:pStyle w:val="Textocomentario"/>
      </w:pPr>
      <w:r>
        <w:rPr>
          <w:rStyle w:val="Refdecomentario"/>
        </w:rPr>
        <w:annotationRef/>
      </w:r>
      <w:r>
        <w:rPr>
          <w:lang w:val="es-CO"/>
        </w:rPr>
        <w:t xml:space="preserve">Esta no es la resolución y tampoco es el nombre de la sancionada </w:t>
      </w:r>
    </w:p>
  </w:comment>
  <w:comment w:id="19" w:author="Mauricio Hernandez Beltran" w:date="2026-03-20T12:05:00Z" w:initials="MH">
    <w:p w14:paraId="68581C50" w14:textId="77777777" w:rsidR="00326920" w:rsidRDefault="00326920" w:rsidP="00326920">
      <w:pPr>
        <w:pStyle w:val="Textocomentario"/>
      </w:pPr>
      <w:r>
        <w:rPr>
          <w:rStyle w:val="Refdecomentario"/>
        </w:rPr>
        <w:annotationRef/>
      </w:r>
      <w:r>
        <w:rPr>
          <w:lang w:val="es-CO"/>
        </w:rPr>
        <w:t xml:space="preserve">Repite palabras, antes de enviar el proyecto debería leerlo para evidenciar los errores </w:t>
      </w:r>
    </w:p>
  </w:comment>
  <w:comment w:id="20" w:author="Mauricio Hernandez Beltran" w:date="2026-03-20T12:07:00Z" w:initials="MH">
    <w:p w14:paraId="42745D82" w14:textId="77777777" w:rsidR="00326920" w:rsidRDefault="00326920" w:rsidP="00326920">
      <w:pPr>
        <w:pStyle w:val="Textocomentario"/>
      </w:pPr>
      <w:r>
        <w:rPr>
          <w:rStyle w:val="Refdecomentario"/>
        </w:rPr>
        <w:annotationRef/>
      </w:r>
      <w:r>
        <w:rPr>
          <w:lang w:val="es-CO"/>
        </w:rPr>
        <w:t xml:space="preserve">Falta el radicado que sirve de sustento para culminar donde no justifica la insistencia y se entiende culminada </w:t>
      </w:r>
    </w:p>
  </w:comment>
  <w:comment w:id="21" w:author="Mauricio Hernandez Beltran" w:date="2026-03-20T12:07:00Z" w:initials="MH">
    <w:p w14:paraId="0FAA8D9B" w14:textId="77777777" w:rsidR="00326920" w:rsidRDefault="00326920" w:rsidP="00326920">
      <w:pPr>
        <w:pStyle w:val="Textocomentario"/>
      </w:pPr>
      <w:r>
        <w:rPr>
          <w:rStyle w:val="Refdecomentario"/>
        </w:rPr>
        <w:annotationRef/>
      </w:r>
      <w:r>
        <w:rPr>
          <w:lang w:val="es-CO"/>
        </w:rPr>
        <w:t xml:space="preserve">No es la resolución </w:t>
      </w:r>
    </w:p>
  </w:comment>
  <w:comment w:id="22" w:author="Mauricio Hernandez Beltran" w:date="2026-03-20T12:08:00Z" w:initials="MH">
    <w:p w14:paraId="55B66D68" w14:textId="77777777" w:rsidR="00326920" w:rsidRDefault="00326920" w:rsidP="00326920">
      <w:pPr>
        <w:pStyle w:val="Textocomentario"/>
      </w:pPr>
      <w:r>
        <w:rPr>
          <w:rStyle w:val="Refdecomentario"/>
        </w:rPr>
        <w:annotationRef/>
      </w:r>
      <w:r>
        <w:rPr>
          <w:lang w:val="es-CO"/>
        </w:rPr>
        <w:t xml:space="preserve">Esto es mentora no es el radicado </w:t>
      </w:r>
    </w:p>
  </w:comment>
  <w:comment w:id="23" w:author="Mauricio Hernandez Beltran" w:date="2026-03-20T12:08:00Z" w:initials="MH">
    <w:p w14:paraId="02801F85" w14:textId="77777777" w:rsidR="00326920" w:rsidRDefault="00326920" w:rsidP="00326920">
      <w:pPr>
        <w:pStyle w:val="Textocomentario"/>
      </w:pPr>
      <w:r>
        <w:rPr>
          <w:rStyle w:val="Refdecomentario"/>
        </w:rPr>
        <w:annotationRef/>
      </w:r>
      <w:r>
        <w:rPr>
          <w:lang w:val="es-CO"/>
        </w:rPr>
        <w:t xml:space="preserve">Asi no se llama la sancionada </w:t>
      </w:r>
    </w:p>
  </w:comment>
  <w:comment w:id="24" w:author="Mauricio Hernandez Beltran" w:date="2026-03-20T12:09:00Z" w:initials="MH">
    <w:p w14:paraId="2F08319E" w14:textId="77777777" w:rsidR="00326920" w:rsidRDefault="00326920" w:rsidP="00326920">
      <w:pPr>
        <w:pStyle w:val="Textocomentario"/>
      </w:pPr>
      <w:r>
        <w:rPr>
          <w:rStyle w:val="Refdecomentario"/>
        </w:rPr>
        <w:annotationRef/>
      </w:r>
      <w:r>
        <w:rPr>
          <w:lang w:val="es-CO"/>
        </w:rPr>
        <w:t xml:space="preserve">Conservar la negrilla de los artículos y no es el nombre de la sancionada </w:t>
      </w:r>
    </w:p>
  </w:comment>
  <w:comment w:id="25" w:author="Mauricio Hernandez Beltran" w:date="2026-03-20T12:10:00Z" w:initials="MH">
    <w:p w14:paraId="05743FD2" w14:textId="77777777" w:rsidR="00326920" w:rsidRDefault="00326920" w:rsidP="00326920">
      <w:pPr>
        <w:pStyle w:val="Textocomentario"/>
      </w:pPr>
      <w:r>
        <w:rPr>
          <w:rStyle w:val="Refdecomentario"/>
        </w:rPr>
        <w:annotationRef/>
      </w:r>
      <w:r>
        <w:rPr>
          <w:lang w:val="es-CO"/>
        </w:rPr>
        <w:t xml:space="preserve">Conservar la negrilla, por otro lado esta autorizado electronicamente y no es el nombre del sancioando </w:t>
      </w:r>
    </w:p>
  </w:comment>
  <w:comment w:id="26" w:author="Mauricio Hernandez Beltran" w:date="2026-03-20T12:11:00Z" w:initials="MH">
    <w:p w14:paraId="7EC068C0" w14:textId="77777777" w:rsidR="00326920" w:rsidRDefault="00326920" w:rsidP="00326920">
      <w:pPr>
        <w:pStyle w:val="Textocomentario"/>
      </w:pPr>
      <w:r>
        <w:rPr>
          <w:rStyle w:val="Refdecomentario"/>
        </w:rPr>
        <w:annotationRef/>
      </w:r>
      <w:r>
        <w:rPr>
          <w:lang w:val="es-CO"/>
        </w:rPr>
        <w:t>Recordar la negrilla</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64A32C7A" w15:done="0"/>
  <w15:commentEx w15:paraId="4E2515D4" w15:done="0"/>
  <w15:commentEx w15:paraId="545302A2" w15:done="0"/>
  <w15:commentEx w15:paraId="6E365613" w15:done="0"/>
  <w15:commentEx w15:paraId="321FF8DB" w15:done="0"/>
  <w15:commentEx w15:paraId="43702A53" w15:done="0"/>
  <w15:commentEx w15:paraId="4FB59E75" w15:done="0"/>
  <w15:commentEx w15:paraId="50D923A1" w15:done="0"/>
  <w15:commentEx w15:paraId="293D3804" w15:done="0"/>
  <w15:commentEx w15:paraId="12C93AF1" w15:done="0"/>
  <w15:commentEx w15:paraId="3ACF60AA" w15:done="0"/>
  <w15:commentEx w15:paraId="76319FD5" w15:done="0"/>
  <w15:commentEx w15:paraId="4DA4595D" w15:done="0"/>
  <w15:commentEx w15:paraId="68581C50" w15:done="0"/>
  <w15:commentEx w15:paraId="42745D82" w15:done="0"/>
  <w15:commentEx w15:paraId="0FAA8D9B" w15:done="0"/>
  <w15:commentEx w15:paraId="55B66D68" w15:done="0"/>
  <w15:commentEx w15:paraId="02801F85" w15:done="0"/>
  <w15:commentEx w15:paraId="2F08319E" w15:done="0"/>
  <w15:commentEx w15:paraId="05743FD2" w15:done="0"/>
  <w15:commentEx w15:paraId="7EC068C0"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218C2813" w16cex:dateUtc="2026-03-20T16:44:00Z"/>
  <w16cex:commentExtensible w16cex:durableId="0DBA33A4" w16cex:dateUtc="2026-03-20T16:46:00Z"/>
  <w16cex:commentExtensible w16cex:durableId="1D415B24" w16cex:dateUtc="2026-03-20T16:47:00Z"/>
  <w16cex:commentExtensible w16cex:durableId="7EC649CA" w16cex:dateUtc="2026-03-20T16:47:00Z"/>
  <w16cex:commentExtensible w16cex:durableId="2405ECB1" w16cex:dateUtc="2026-03-20T16:50:00Z"/>
  <w16cex:commentExtensible w16cex:durableId="65373205" w16cex:dateUtc="2026-03-20T16:55:00Z"/>
  <w16cex:commentExtensible w16cex:durableId="3141837E" w16cex:dateUtc="2026-03-20T16:55:00Z"/>
  <w16cex:commentExtensible w16cex:durableId="14E8D083" w16cex:dateUtc="2026-03-20T16:59:00Z"/>
  <w16cex:commentExtensible w16cex:durableId="46C973FF" w16cex:dateUtc="2026-03-20T17:01:00Z"/>
  <w16cex:commentExtensible w16cex:durableId="71E25024" w16cex:dateUtc="2026-03-20T17:02:00Z"/>
  <w16cex:commentExtensible w16cex:durableId="7F81A408" w16cex:dateUtc="2026-03-20T17:03:00Z"/>
  <w16cex:commentExtensible w16cex:durableId="37C66854" w16cex:dateUtc="2026-03-20T17:04:00Z"/>
  <w16cex:commentExtensible w16cex:durableId="4678FFCF" w16cex:dateUtc="2026-03-20T17:05:00Z"/>
  <w16cex:commentExtensible w16cex:durableId="1F582478" w16cex:dateUtc="2026-03-20T17:05:00Z"/>
  <w16cex:commentExtensible w16cex:durableId="22A5B78E" w16cex:dateUtc="2026-03-20T17:07:00Z"/>
  <w16cex:commentExtensible w16cex:durableId="49562BD8" w16cex:dateUtc="2026-03-20T17:07:00Z"/>
  <w16cex:commentExtensible w16cex:durableId="3FA1B586" w16cex:dateUtc="2026-03-20T17:08:00Z"/>
  <w16cex:commentExtensible w16cex:durableId="25C09EB6" w16cex:dateUtc="2026-03-20T17:08:00Z"/>
  <w16cex:commentExtensible w16cex:durableId="799D21B0" w16cex:dateUtc="2026-03-20T17:09:00Z"/>
  <w16cex:commentExtensible w16cex:durableId="30554138" w16cex:dateUtc="2026-03-20T17:10:00Z"/>
  <w16cex:commentExtensible w16cex:durableId="342FB4DA" w16cex:dateUtc="2026-03-20T17:11: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64A32C7A" w16cid:durableId="218C2813"/>
  <w16cid:commentId w16cid:paraId="4E2515D4" w16cid:durableId="0DBA33A4"/>
  <w16cid:commentId w16cid:paraId="545302A2" w16cid:durableId="1D415B24"/>
  <w16cid:commentId w16cid:paraId="6E365613" w16cid:durableId="7EC649CA"/>
  <w16cid:commentId w16cid:paraId="321FF8DB" w16cid:durableId="2405ECB1"/>
  <w16cid:commentId w16cid:paraId="43702A53" w16cid:durableId="65373205"/>
  <w16cid:commentId w16cid:paraId="4FB59E75" w16cid:durableId="3141837E"/>
  <w16cid:commentId w16cid:paraId="50D923A1" w16cid:durableId="14E8D083"/>
  <w16cid:commentId w16cid:paraId="293D3804" w16cid:durableId="46C973FF"/>
  <w16cid:commentId w16cid:paraId="12C93AF1" w16cid:durableId="71E25024"/>
  <w16cid:commentId w16cid:paraId="3ACF60AA" w16cid:durableId="7F81A408"/>
  <w16cid:commentId w16cid:paraId="76319FD5" w16cid:durableId="37C66854"/>
  <w16cid:commentId w16cid:paraId="4DA4595D" w16cid:durableId="4678FFCF"/>
  <w16cid:commentId w16cid:paraId="68581C50" w16cid:durableId="1F582478"/>
  <w16cid:commentId w16cid:paraId="42745D82" w16cid:durableId="22A5B78E"/>
  <w16cid:commentId w16cid:paraId="0FAA8D9B" w16cid:durableId="49562BD8"/>
  <w16cid:commentId w16cid:paraId="55B66D68" w16cid:durableId="3FA1B586"/>
  <w16cid:commentId w16cid:paraId="02801F85" w16cid:durableId="25C09EB6"/>
  <w16cid:commentId w16cid:paraId="2F08319E" w16cid:durableId="799D21B0"/>
  <w16cid:commentId w16cid:paraId="05743FD2" w16cid:durableId="30554138"/>
  <w16cid:commentId w16cid:paraId="7EC068C0" w16cid:durableId="342FB4DA"/>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ADC458B" w14:textId="77777777" w:rsidR="00FE7E1C" w:rsidRDefault="00FE7E1C">
      <w:r>
        <w:separator/>
      </w:r>
    </w:p>
  </w:endnote>
  <w:endnote w:type="continuationSeparator" w:id="0">
    <w:p w14:paraId="569A1D16" w14:textId="77777777" w:rsidR="00FE7E1C" w:rsidRDefault="00FE7E1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Play">
    <w:charset w:val="00"/>
    <w:family w:val="auto"/>
    <w:pitch w:val="default"/>
    <w:embedRegular r:id="rId1" w:fontKey="{158659A0-45B1-4A60-860F-8E18565C60E1}"/>
  </w:font>
  <w:font w:name="SimSun">
    <w:altName w:val="宋体"/>
    <w:panose1 w:val="02010600030101010101"/>
    <w:charset w:val="86"/>
    <w:family w:val="auto"/>
    <w:pitch w:val="variable"/>
    <w:sig w:usb0="00000203" w:usb1="288F0000" w:usb2="00000016" w:usb3="00000000" w:csb0="00040001" w:csb1="00000000"/>
  </w:font>
  <w:font w:name="Aptos Display">
    <w:charset w:val="00"/>
    <w:family w:val="swiss"/>
    <w:pitch w:val="variable"/>
    <w:sig w:usb0="20000287" w:usb1="00000003" w:usb2="00000000" w:usb3="00000000" w:csb0="0000019F" w:csb1="00000000"/>
    <w:embedRegular r:id="rId2" w:fontKey="{3EEB4DEA-7330-489B-A700-3A69CC8A7084}"/>
  </w:font>
  <w:font w:name="Aptos">
    <w:charset w:val="00"/>
    <w:family w:val="swiss"/>
    <w:pitch w:val="variable"/>
    <w:sig w:usb0="20000287" w:usb1="00000003" w:usb2="00000000" w:usb3="00000000" w:csb0="0000019F" w:csb1="00000000"/>
    <w:embedRegular r:id="rId3" w:fontKey="{5E5AAE52-C2B2-4300-85E6-4BCBF06F9B54}"/>
  </w:font>
  <w:font w:name="Helvetica">
    <w:panose1 w:val="020B0604020202020204"/>
    <w:charset w:val="00"/>
    <w:family w:val="swiss"/>
    <w:pitch w:val="variable"/>
    <w:sig w:usb0="E0002EFF" w:usb1="C000785B" w:usb2="00000009" w:usb3="00000000" w:csb0="000001FF" w:csb1="00000000"/>
    <w:embedRegular r:id="rId4" w:fontKey="{B3661B9B-D519-44AD-8B31-AFA395FEBC04}"/>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embedRegular r:id="rId5" w:fontKey="{7404CACA-3E0D-4A0C-8D10-CF9899F40CF1}"/>
  </w:font>
  <w:font w:name="Calibri">
    <w:panose1 w:val="020F0502020204030204"/>
    <w:charset w:val="00"/>
    <w:family w:val="swiss"/>
    <w:pitch w:val="variable"/>
    <w:sig w:usb0="E4002EFF" w:usb1="C200247B" w:usb2="00000009" w:usb3="00000000" w:csb0="000001FF" w:csb1="00000000"/>
    <w:embedRegular r:id="rId6" w:fontKey="{058C903E-478F-462A-B27C-3E52ACB0C585}"/>
    <w:embedBold r:id="rId7" w:fontKey="{ECA77A87-4EF5-4A5C-903F-D3C51E258561}"/>
  </w:font>
  <w:font w:name="Cambria">
    <w:panose1 w:val="02040503050406030204"/>
    <w:charset w:val="00"/>
    <w:family w:val="roman"/>
    <w:pitch w:val="variable"/>
    <w:sig w:usb0="E00006FF" w:usb1="420024FF" w:usb2="02000000" w:usb3="00000000" w:csb0="0000019F" w:csb1="00000000"/>
    <w:embedRegular r:id="rId8" w:fontKey="{DB17B8D4-9975-448A-9AB4-121001BF4224}"/>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4BFEE8E" w14:textId="77777777" w:rsidR="009A6ECE" w:rsidRDefault="00EB405F">
    <w:pPr>
      <w:pBdr>
        <w:top w:val="nil"/>
        <w:left w:val="nil"/>
        <w:bottom w:val="nil"/>
        <w:right w:val="nil"/>
        <w:between w:val="nil"/>
      </w:pBdr>
      <w:tabs>
        <w:tab w:val="center" w:pos="4419"/>
        <w:tab w:val="right" w:pos="8838"/>
      </w:tabs>
      <w:rPr>
        <w:color w:val="000000"/>
        <w:sz w:val="16"/>
        <w:szCs w:val="16"/>
      </w:rPr>
    </w:pPr>
    <w:r>
      <w:rPr>
        <w:rFonts w:ascii="Arial" w:eastAsia="Arial" w:hAnsi="Arial" w:cs="Arial"/>
        <w:color w:val="000000"/>
        <w:sz w:val="16"/>
        <w:szCs w:val="16"/>
      </w:rPr>
      <w:t xml:space="preserve">Secretaría Distrital del Hábitat                             </w:t>
    </w:r>
    <w:r>
      <w:rPr>
        <w:noProof/>
      </w:rPr>
      <w:drawing>
        <wp:anchor distT="0" distB="0" distL="114300" distR="114300" simplePos="0" relativeHeight="251659264" behindDoc="0" locked="0" layoutInCell="1" hidden="0" allowOverlap="1" wp14:anchorId="14BFEE98" wp14:editId="14BFEE99">
          <wp:simplePos x="0" y="0"/>
          <wp:positionH relativeFrom="column">
            <wp:posOffset>2239010</wp:posOffset>
          </wp:positionH>
          <wp:positionV relativeFrom="paragraph">
            <wp:posOffset>74295</wp:posOffset>
          </wp:positionV>
          <wp:extent cx="2133600" cy="861695"/>
          <wp:effectExtent l="9525" t="9525" r="9525" b="9525"/>
          <wp:wrapSquare wrapText="bothSides" distT="0" distB="0" distL="114300" distR="114300"/>
          <wp:docPr id="4105" name="image2.png" descr="Imagen que contiene Texto&#10;&#10;El contenido generado por IA puede ser incorrecto."/>
          <wp:cNvGraphicFramePr/>
          <a:graphic xmlns:a="http://schemas.openxmlformats.org/drawingml/2006/main">
            <a:graphicData uri="http://schemas.openxmlformats.org/drawingml/2006/picture">
              <pic:pic xmlns:pic="http://schemas.openxmlformats.org/drawingml/2006/picture">
                <pic:nvPicPr>
                  <pic:cNvPr id="0" name="image2.png" descr="Imagen que contiene Texto&#10;&#10;El contenido generado por IA puede ser incorrecto."/>
                  <pic:cNvPicPr preferRelativeResize="0"/>
                </pic:nvPicPr>
                <pic:blipFill>
                  <a:blip r:embed="rId1"/>
                  <a:srcRect/>
                  <a:stretch>
                    <a:fillRect/>
                  </a:stretch>
                </pic:blipFill>
                <pic:spPr>
                  <a:xfrm>
                    <a:off x="0" y="0"/>
                    <a:ext cx="2133600" cy="861695"/>
                  </a:xfrm>
                  <a:prstGeom prst="rect">
                    <a:avLst/>
                  </a:prstGeom>
                  <a:ln w="9525">
                    <a:solidFill>
                      <a:srgbClr val="000000"/>
                    </a:solidFill>
                    <a:prstDash val="solid"/>
                  </a:ln>
                </pic:spPr>
              </pic:pic>
            </a:graphicData>
          </a:graphic>
        </wp:anchor>
      </w:drawing>
    </w:r>
  </w:p>
  <w:p w14:paraId="14BFEE8F" w14:textId="6D3C9F90" w:rsidR="009A6ECE" w:rsidRDefault="00EB405F">
    <w:pPr>
      <w:pBdr>
        <w:top w:val="nil"/>
        <w:left w:val="nil"/>
        <w:bottom w:val="nil"/>
        <w:right w:val="nil"/>
        <w:between w:val="nil"/>
      </w:pBdr>
      <w:tabs>
        <w:tab w:val="center" w:pos="4419"/>
        <w:tab w:val="right" w:pos="8838"/>
      </w:tabs>
      <w:rPr>
        <w:color w:val="000000"/>
      </w:rPr>
    </w:pPr>
    <w:r>
      <w:rPr>
        <w:color w:val="000000"/>
      </w:rPr>
      <w:t xml:space="preserve">Página </w:t>
    </w:r>
    <w:r>
      <w:rPr>
        <w:b/>
        <w:bCs/>
        <w:color w:val="000000"/>
      </w:rPr>
      <w:fldChar w:fldCharType="begin"/>
    </w:r>
    <w:r>
      <w:rPr>
        <w:b/>
        <w:bCs/>
        <w:color w:val="000000"/>
      </w:rPr>
      <w:instrText>PAGE</w:instrText>
    </w:r>
    <w:r>
      <w:rPr>
        <w:b/>
        <w:bCs/>
        <w:color w:val="000000"/>
      </w:rPr>
      <w:fldChar w:fldCharType="separate"/>
    </w:r>
    <w:r w:rsidR="004465AC">
      <w:rPr>
        <w:b/>
        <w:bCs/>
        <w:noProof/>
        <w:color w:val="000000"/>
      </w:rPr>
      <w:t>1</w:t>
    </w:r>
    <w:r>
      <w:rPr>
        <w:b/>
        <w:bCs/>
        <w:color w:val="000000"/>
      </w:rPr>
      <w:fldChar w:fldCharType="end"/>
    </w:r>
    <w:r>
      <w:rPr>
        <w:color w:val="000000"/>
      </w:rPr>
      <w:t xml:space="preserve"> de </w:t>
    </w:r>
    <w:r>
      <w:rPr>
        <w:b/>
        <w:bCs/>
        <w:color w:val="000000"/>
      </w:rPr>
      <w:fldChar w:fldCharType="begin"/>
    </w:r>
    <w:r>
      <w:rPr>
        <w:b/>
        <w:bCs/>
        <w:color w:val="000000"/>
      </w:rPr>
      <w:instrText>NUMPAGES</w:instrText>
    </w:r>
    <w:r>
      <w:rPr>
        <w:b/>
        <w:bCs/>
        <w:color w:val="000000"/>
      </w:rPr>
      <w:fldChar w:fldCharType="separate"/>
    </w:r>
    <w:r w:rsidR="004465AC">
      <w:rPr>
        <w:b/>
        <w:bCs/>
        <w:noProof/>
        <w:color w:val="000000"/>
      </w:rPr>
      <w:t>2</w:t>
    </w:r>
    <w:r>
      <w:rPr>
        <w:b/>
        <w:bCs/>
        <w:color w:val="000000"/>
      </w:rPr>
      <w:fldChar w:fldCharType="end"/>
    </w:r>
  </w:p>
  <w:p w14:paraId="14BFEE90" w14:textId="77777777" w:rsidR="009A6ECE" w:rsidRDefault="00EB405F">
    <w:pPr>
      <w:pBdr>
        <w:top w:val="nil"/>
        <w:left w:val="nil"/>
        <w:bottom w:val="nil"/>
        <w:right w:val="nil"/>
        <w:between w:val="nil"/>
      </w:pBdr>
      <w:tabs>
        <w:tab w:val="center" w:pos="4419"/>
        <w:tab w:val="right" w:pos="8838"/>
      </w:tabs>
      <w:rPr>
        <w:rFonts w:ascii="Arial" w:eastAsia="Arial" w:hAnsi="Arial" w:cs="Arial"/>
        <w:b/>
        <w:bCs/>
        <w:color w:val="000000"/>
        <w:sz w:val="14"/>
        <w:szCs w:val="14"/>
      </w:rPr>
    </w:pPr>
    <w:r>
      <w:rPr>
        <w:rFonts w:ascii="Arial" w:eastAsia="Arial" w:hAnsi="Arial" w:cs="Arial"/>
        <w:color w:val="000000"/>
        <w:sz w:val="16"/>
        <w:szCs w:val="16"/>
      </w:rPr>
      <w:t xml:space="preserve">Servicio al ciudadano: Carrera 13 No. 52-13       </w:t>
    </w:r>
  </w:p>
  <w:p w14:paraId="14BFEE91" w14:textId="77777777" w:rsidR="009A6ECE" w:rsidRDefault="00EB405F">
    <w:pPr>
      <w:pBdr>
        <w:top w:val="nil"/>
        <w:left w:val="nil"/>
        <w:bottom w:val="nil"/>
        <w:right w:val="nil"/>
        <w:between w:val="nil"/>
      </w:pBdr>
      <w:tabs>
        <w:tab w:val="center" w:pos="4419"/>
        <w:tab w:val="right" w:pos="8838"/>
      </w:tabs>
      <w:rPr>
        <w:rFonts w:ascii="Arial" w:eastAsia="Arial" w:hAnsi="Arial" w:cs="Arial"/>
        <w:color w:val="000000"/>
        <w:sz w:val="16"/>
        <w:szCs w:val="16"/>
      </w:rPr>
    </w:pPr>
    <w:r>
      <w:rPr>
        <w:rFonts w:ascii="Arial" w:eastAsia="Arial" w:hAnsi="Arial" w:cs="Arial"/>
        <w:color w:val="000000"/>
        <w:sz w:val="16"/>
        <w:szCs w:val="16"/>
      </w:rPr>
      <w:t xml:space="preserve">Sede Principal: Calle 52 No. 13-64                     </w:t>
    </w:r>
    <w:r>
      <w:rPr>
        <w:noProof/>
      </w:rPr>
      <mc:AlternateContent>
        <mc:Choice Requires="wps">
          <w:drawing>
            <wp:anchor distT="45720" distB="45720" distL="114300" distR="114300" simplePos="0" relativeHeight="251660288" behindDoc="0" locked="0" layoutInCell="1" hidden="0" allowOverlap="1" wp14:anchorId="14BFEE9A" wp14:editId="14BFEE9B">
              <wp:simplePos x="0" y="0"/>
              <wp:positionH relativeFrom="column">
                <wp:posOffset>5184777</wp:posOffset>
              </wp:positionH>
              <wp:positionV relativeFrom="paragraph">
                <wp:posOffset>82550</wp:posOffset>
              </wp:positionV>
              <wp:extent cx="1079498" cy="737234"/>
              <wp:effectExtent l="0" t="0" r="0" b="0"/>
              <wp:wrapSquare wrapText="bothSides" distT="45720" distB="45720" distL="114300" distR="114300"/>
              <wp:docPr id="4103" name="Rectángulo 4103"/>
              <wp:cNvGraphicFramePr/>
              <a:graphic xmlns:a="http://schemas.openxmlformats.org/drawingml/2006/main">
                <a:graphicData uri="http://schemas.microsoft.com/office/word/2010/wordprocessingShape">
                  <wps:wsp>
                    <wps:cNvSpPr/>
                    <wps:spPr>
                      <a:xfrm>
                        <a:off x="4815776" y="3420908"/>
                        <a:ext cx="1060448" cy="718184"/>
                      </a:xfrm>
                      <a:prstGeom prst="rect">
                        <a:avLst/>
                      </a:prstGeom>
                      <a:solidFill>
                        <a:srgbClr val="FFFFFF"/>
                      </a:solidFill>
                      <a:ln w="9525" cap="flat" cmpd="sng">
                        <a:solidFill>
                          <a:srgbClr val="FFFFFF"/>
                        </a:solidFill>
                        <a:prstDash val="solid"/>
                        <a:miter lim="8000"/>
                        <a:headEnd type="none" w="sm" len="sm"/>
                        <a:tailEnd type="none" w="sm" len="sm"/>
                      </a:ln>
                    </wps:spPr>
                    <wps:txbx>
                      <w:txbxContent>
                        <w:p w14:paraId="14BFEE9C" w14:textId="77777777" w:rsidR="009A6ECE" w:rsidRDefault="00EB405F">
                          <w:pPr>
                            <w:jc w:val="center"/>
                            <w:textDirection w:val="btLr"/>
                          </w:pPr>
                          <w:r>
                            <w:rPr>
                              <w:rFonts w:ascii="Arial" w:eastAsia="Arial" w:hAnsi="Arial" w:cs="Arial"/>
                              <w:color w:val="000000"/>
                              <w:sz w:val="14"/>
                            </w:rPr>
                            <w:t>PG02-PL03 V2</w:t>
                          </w:r>
                        </w:p>
                      </w:txbxContent>
                    </wps:txbx>
                    <wps:bodyPr spcFirstLastPara="1" wrap="square" lIns="91425" tIns="45700" rIns="91425" bIns="45700" anchor="t" anchorCtr="0">
                      <a:noAutofit/>
                    </wps:bodyPr>
                  </wps:wsp>
                </a:graphicData>
              </a:graphic>
            </wp:anchor>
          </w:drawing>
        </mc:Choice>
        <mc:Fallback>
          <w:pict>
            <v:rect w14:anchorId="14BFEE9A" id="Rectángulo 4103" o:spid="_x0000_s1026" style="position:absolute;margin-left:408.25pt;margin-top:6.5pt;width:85pt;height:58.05pt;z-index:251660288;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" strokecolor="white">
              <v:stroke startarrowwidth="narrow" startarrowlength="short" endarrowwidth="narrow" endarrowlength="short" miterlimit="5243f"/>
              <v:textbox inset="2.53958mm,1.2694mm,2.53958mm,1.2694mm">
                <w:txbxContent>
                  <w:p w14:paraId="14BFEE9C" w14:textId="77777777" w:rsidR="009A6ECE" w:rsidRDefault="00EB405F">
                    <w:pPr>
                      <w:jc w:val="center"/>
                      <w:textDirection w:val="btLr"/>
                    </w:pPr>
                    <w:r>
                      <w:rPr>
                        <w:rFonts w:ascii="Arial" w:eastAsia="Arial" w:hAnsi="Arial" w:cs="Arial"/>
                        <w:color w:val="000000"/>
                        <w:sz w:val="14"/>
                      </w:rPr>
                      <w:t>PG02-PL03 V2</w:t>
                    </w:r>
                  </w:p>
                </w:txbxContent>
              </v:textbox>
              <w10:wrap type="square"/>
            </v:rect>
          </w:pict>
        </mc:Fallback>
      </mc:AlternateContent>
    </w:r>
  </w:p>
  <w:p w14:paraId="14BFEE92" w14:textId="77777777" w:rsidR="009A6ECE" w:rsidRDefault="00EB405F">
    <w:pPr>
      <w:pBdr>
        <w:top w:val="nil"/>
        <w:left w:val="nil"/>
        <w:bottom w:val="nil"/>
        <w:right w:val="nil"/>
        <w:between w:val="nil"/>
      </w:pBdr>
      <w:tabs>
        <w:tab w:val="center" w:pos="4419"/>
        <w:tab w:val="right" w:pos="8838"/>
      </w:tabs>
      <w:rPr>
        <w:rFonts w:ascii="Arial" w:eastAsia="Arial" w:hAnsi="Arial" w:cs="Arial"/>
        <w:color w:val="000000"/>
        <w:sz w:val="16"/>
        <w:szCs w:val="16"/>
      </w:rPr>
    </w:pPr>
    <w:r>
      <w:rPr>
        <w:rFonts w:ascii="Arial" w:eastAsia="Arial" w:hAnsi="Arial" w:cs="Arial"/>
        <w:color w:val="000000"/>
        <w:sz w:val="16"/>
        <w:szCs w:val="16"/>
      </w:rPr>
      <w:t>Teléfono: 601-3581600</w:t>
    </w:r>
  </w:p>
  <w:p w14:paraId="14BFEE93" w14:textId="77777777" w:rsidR="009A6ECE" w:rsidRPr="00AA0677" w:rsidRDefault="00EB405F">
    <w:pPr>
      <w:pBdr>
        <w:top w:val="nil"/>
        <w:left w:val="nil"/>
        <w:bottom w:val="nil"/>
        <w:right w:val="nil"/>
        <w:between w:val="nil"/>
      </w:pBdr>
      <w:tabs>
        <w:tab w:val="center" w:pos="4419"/>
        <w:tab w:val="right" w:pos="8838"/>
      </w:tabs>
      <w:rPr>
        <w:rFonts w:ascii="Arial" w:eastAsia="Arial" w:hAnsi="Arial" w:cs="Arial"/>
        <w:color w:val="000000"/>
        <w:sz w:val="16"/>
        <w:szCs w:val="16"/>
        <w:lang w:val="pt-PT"/>
      </w:rPr>
    </w:pPr>
    <w:r w:rsidRPr="00AA0677">
      <w:rPr>
        <w:rFonts w:ascii="Arial" w:eastAsia="Arial" w:hAnsi="Arial" w:cs="Arial"/>
        <w:color w:val="000000"/>
        <w:sz w:val="16"/>
        <w:szCs w:val="16"/>
        <w:lang w:val="pt-PT"/>
      </w:rPr>
      <w:t xml:space="preserve">Código Postal: 110231 </w:t>
    </w:r>
  </w:p>
  <w:p w14:paraId="14BFEE94" w14:textId="77777777" w:rsidR="009A6ECE" w:rsidRPr="00AA0677" w:rsidRDefault="00EB405F">
    <w:pPr>
      <w:pBdr>
        <w:top w:val="nil"/>
        <w:left w:val="nil"/>
        <w:bottom w:val="nil"/>
        <w:right w:val="nil"/>
        <w:between w:val="nil"/>
      </w:pBdr>
      <w:tabs>
        <w:tab w:val="center" w:pos="4419"/>
        <w:tab w:val="right" w:pos="8838"/>
      </w:tabs>
      <w:rPr>
        <w:rFonts w:ascii="Arial" w:eastAsia="Arial" w:hAnsi="Arial" w:cs="Arial"/>
        <w:color w:val="000000"/>
        <w:sz w:val="16"/>
        <w:szCs w:val="16"/>
        <w:lang w:val="pt-PT"/>
      </w:rPr>
    </w:pPr>
    <w:hyperlink r:id="rId2">
      <w:r w:rsidRPr="00AA0677">
        <w:rPr>
          <w:rFonts w:ascii="Arial" w:eastAsia="Arial" w:hAnsi="Arial" w:cs="Arial"/>
          <w:color w:val="0000FF"/>
          <w:sz w:val="16"/>
          <w:szCs w:val="16"/>
          <w:u w:val="single"/>
          <w:lang w:val="pt-PT"/>
        </w:rPr>
        <w:t>www.habitatbogota.gov.co</w:t>
      </w:r>
    </w:hyperlink>
    <w:r w:rsidRPr="00AA0677">
      <w:rPr>
        <w:rFonts w:ascii="Arial" w:eastAsia="Arial" w:hAnsi="Arial" w:cs="Arial"/>
        <w:color w:val="000000"/>
        <w:sz w:val="16"/>
        <w:szCs w:val="16"/>
        <w:lang w:val="pt-PT"/>
      </w:rPr>
      <w:t xml:space="preserve">                 </w:t>
    </w:r>
  </w:p>
  <w:p w14:paraId="14BFEE95" w14:textId="77777777" w:rsidR="009A6ECE" w:rsidRPr="00AA0677" w:rsidRDefault="009A6ECE">
    <w:pPr>
      <w:pBdr>
        <w:top w:val="nil"/>
        <w:left w:val="nil"/>
        <w:bottom w:val="nil"/>
        <w:right w:val="nil"/>
        <w:between w:val="nil"/>
      </w:pBdr>
      <w:tabs>
        <w:tab w:val="center" w:pos="4419"/>
        <w:tab w:val="right" w:pos="8838"/>
      </w:tabs>
      <w:rPr>
        <w:color w:val="000000"/>
        <w:lang w:val="pt-PT"/>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A7207D6" w14:textId="77777777" w:rsidR="00FE7E1C" w:rsidRDefault="00FE7E1C">
      <w:r>
        <w:separator/>
      </w:r>
    </w:p>
  </w:footnote>
  <w:footnote w:type="continuationSeparator" w:id="0">
    <w:p w14:paraId="11FA78F1" w14:textId="77777777" w:rsidR="00FE7E1C" w:rsidRDefault="00FE7E1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4BFEE88" w14:textId="77777777" w:rsidR="009A6ECE" w:rsidRDefault="009A6ECE">
    <w:pPr>
      <w:rPr>
        <w:b/>
        <w:bCs/>
        <w:sz w:val="22"/>
        <w:szCs w:val="22"/>
      </w:rPr>
    </w:pPr>
    <w:bookmarkStart w:id="27" w:name="_heading=h.g0ck6mntm1z9" w:colFirst="0" w:colLast="0"/>
    <w:bookmarkEnd w:id="27"/>
  </w:p>
  <w:p w14:paraId="14BFEE89" w14:textId="77777777" w:rsidR="009A6ECE" w:rsidRDefault="009A6ECE">
    <w:pPr>
      <w:rPr>
        <w:b/>
        <w:bCs/>
        <w:sz w:val="22"/>
        <w:szCs w:val="22"/>
      </w:rPr>
    </w:pPr>
  </w:p>
  <w:p w14:paraId="14BFEE8A" w14:textId="77777777" w:rsidR="009A6ECE" w:rsidRDefault="009A6ECE">
    <w:pPr>
      <w:rPr>
        <w:b/>
        <w:bCs/>
        <w:sz w:val="22"/>
        <w:szCs w:val="22"/>
      </w:rPr>
    </w:pPr>
  </w:p>
  <w:p w14:paraId="14BFEE8B" w14:textId="77777777" w:rsidR="009A6ECE" w:rsidRDefault="00EB405F">
    <w:pPr>
      <w:jc w:val="center"/>
      <w:rPr>
        <w:rFonts w:ascii="Arial" w:eastAsia="Arial" w:hAnsi="Arial" w:cs="Arial"/>
        <w:b/>
        <w:bCs/>
        <w:sz w:val="22"/>
        <w:szCs w:val="22"/>
      </w:rPr>
    </w:pPr>
    <w:r>
      <w:rPr>
        <w:rFonts w:ascii="Arial" w:eastAsia="Arial" w:hAnsi="Arial" w:cs="Arial"/>
        <w:b/>
        <w:bCs/>
        <w:sz w:val="22"/>
        <w:szCs w:val="22"/>
      </w:rPr>
      <w:t>RESOLUCIÓN No. DEL ____DE ____ DE 2026</w:t>
    </w:r>
  </w:p>
  <w:p w14:paraId="14BFEE8C" w14:textId="77777777" w:rsidR="009A6ECE" w:rsidRDefault="00EB405F">
    <w:pPr>
      <w:jc w:val="center"/>
      <w:rPr>
        <w:rFonts w:ascii="Arial" w:eastAsia="Arial" w:hAnsi="Arial" w:cs="Arial"/>
        <w:sz w:val="22"/>
        <w:szCs w:val="22"/>
      </w:rPr>
    </w:pPr>
    <w:r>
      <w:rPr>
        <w:rFonts w:ascii="Arial" w:eastAsia="Arial" w:hAnsi="Arial" w:cs="Arial"/>
        <w:sz w:val="22"/>
        <w:szCs w:val="22"/>
      </w:rPr>
      <w:t>“Por la cual se impone una multa por incumplimiento a una orden”</w:t>
    </w:r>
  </w:p>
  <w:p w14:paraId="14BFEE8D" w14:textId="77777777" w:rsidR="009A6ECE" w:rsidRDefault="00EB405F">
    <w:pPr>
      <w:rPr>
        <w:rFonts w:ascii="Calibri" w:eastAsia="Calibri" w:hAnsi="Calibri" w:cs="Calibri"/>
        <w:b/>
        <w:bCs/>
        <w:sz w:val="22"/>
        <w:szCs w:val="22"/>
      </w:rPr>
    </w:pPr>
    <w:r>
      <w:rPr>
        <w:rFonts w:ascii="Calibri" w:eastAsia="Calibri" w:hAnsi="Calibri" w:cs="Calibri"/>
        <w:noProof/>
        <w:sz w:val="22"/>
        <w:szCs w:val="22"/>
      </w:rPr>
      <w:drawing>
        <wp:anchor distT="0" distB="0" distL="114300" distR="114300" simplePos="0" relativeHeight="251658240" behindDoc="0" locked="0" layoutInCell="1" hidden="0" allowOverlap="1" wp14:anchorId="14BFEE96" wp14:editId="14BFEE97">
          <wp:simplePos x="0" y="0"/>
          <wp:positionH relativeFrom="margin">
            <wp:align>center</wp:align>
          </wp:positionH>
          <wp:positionV relativeFrom="page">
            <wp:posOffset>277495</wp:posOffset>
          </wp:positionV>
          <wp:extent cx="1333500" cy="469900"/>
          <wp:effectExtent l="9525" t="9525" r="9525" b="9525"/>
          <wp:wrapSquare wrapText="bothSides" distT="0" distB="0" distL="114300" distR="114300"/>
          <wp:docPr id="4104"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1333500" cy="469900"/>
                  </a:xfrm>
                  <a:prstGeom prst="rect">
                    <a:avLst/>
                  </a:prstGeom>
                  <a:ln w="9525">
                    <a:solidFill>
                      <a:srgbClr val="000000"/>
                    </a:solidFill>
                    <a:prstDash val="solid"/>
                  </a:ln>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221A095B"/>
    <w:multiLevelType w:val="multilevel"/>
    <w:tmpl w:val="2A0A2DFE"/>
    <w:lvl w:ilvl="0">
      <w:start w:val="1"/>
      <w:numFmt w:val="bullet"/>
      <w:lvlText w:val="●"/>
      <w:lvlJc w:val="left"/>
      <w:pPr>
        <w:ind w:left="720" w:hanging="360"/>
      </w:pPr>
      <w:rPr>
        <w:u w:val="none"/>
      </w:rPr>
    </w:lvl>
    <w:lvl w:ilvl="1">
      <w:start w:val="1"/>
      <w:numFmt w:val="bullet"/>
      <w:lvlText w:val="o"/>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o"/>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o"/>
      <w:lvlJc w:val="left"/>
      <w:pPr>
        <w:ind w:left="5760" w:hanging="360"/>
      </w:pPr>
      <w:rPr>
        <w:u w:val="none"/>
      </w:rPr>
    </w:lvl>
    <w:lvl w:ilvl="8">
      <w:start w:val="1"/>
      <w:numFmt w:val="bullet"/>
      <w:lvlText w:val="▪"/>
      <w:lvlJc w:val="left"/>
      <w:pPr>
        <w:ind w:left="6480" w:hanging="360"/>
      </w:pPr>
      <w:rPr>
        <w:u w:val="none"/>
      </w:rPr>
    </w:lvl>
  </w:abstractNum>
  <w:abstractNum w:abstractNumId="1" w15:restartNumberingAfterBreak="0">
    <w:nsid w:val="263E4BCE"/>
    <w:multiLevelType w:val="multilevel"/>
    <w:tmpl w:val="ACE8ED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 w15:restartNumberingAfterBreak="0">
    <w:nsid w:val="29D501FE"/>
    <w:multiLevelType w:val="multilevel"/>
    <w:tmpl w:val="1BE0B41C"/>
    <w:lvl w:ilvl="0">
      <w:numFmt w:val="bullet"/>
      <w:lvlText w:val="●"/>
      <w:lvlJc w:val="left"/>
      <w:pPr>
        <w:ind w:left="0" w:firstLine="0"/>
      </w:pPr>
      <w:rPr>
        <w:u w:val="none"/>
      </w:rPr>
    </w:lvl>
    <w:lvl w:ilvl="1">
      <w:start w:val="1"/>
      <w:numFmt w:val="bullet"/>
      <w:lvlText w:val=""/>
      <w:lvlJc w:val="left"/>
      <w:pPr>
        <w:ind w:left="0" w:firstLine="0"/>
      </w:pPr>
      <w:rPr>
        <w:u w:val="none"/>
      </w:rPr>
    </w:lvl>
    <w:lvl w:ilvl="2">
      <w:start w:val="1"/>
      <w:numFmt w:val="bullet"/>
      <w:lvlText w:val=""/>
      <w:lvlJc w:val="left"/>
      <w:pPr>
        <w:ind w:left="0" w:firstLine="0"/>
      </w:pPr>
      <w:rPr>
        <w:u w:val="none"/>
      </w:rPr>
    </w:lvl>
    <w:lvl w:ilvl="3">
      <w:start w:val="1"/>
      <w:numFmt w:val="bullet"/>
      <w:lvlText w:val=""/>
      <w:lvlJc w:val="left"/>
      <w:pPr>
        <w:ind w:left="0" w:firstLine="0"/>
      </w:pPr>
      <w:rPr>
        <w:u w:val="none"/>
      </w:rPr>
    </w:lvl>
    <w:lvl w:ilvl="4">
      <w:start w:val="1"/>
      <w:numFmt w:val="bullet"/>
      <w:lvlText w:val=""/>
      <w:lvlJc w:val="left"/>
      <w:pPr>
        <w:ind w:left="0" w:firstLine="0"/>
      </w:pPr>
      <w:rPr>
        <w:u w:val="none"/>
      </w:rPr>
    </w:lvl>
    <w:lvl w:ilvl="5">
      <w:start w:val="1"/>
      <w:numFmt w:val="bullet"/>
      <w:lvlText w:val=""/>
      <w:lvlJc w:val="left"/>
      <w:pPr>
        <w:ind w:left="0" w:firstLine="0"/>
      </w:pPr>
      <w:rPr>
        <w:u w:val="none"/>
      </w:rPr>
    </w:lvl>
    <w:lvl w:ilvl="6">
      <w:start w:val="1"/>
      <w:numFmt w:val="bullet"/>
      <w:lvlText w:val=""/>
      <w:lvlJc w:val="left"/>
      <w:pPr>
        <w:ind w:left="0" w:firstLine="0"/>
      </w:pPr>
      <w:rPr>
        <w:u w:val="none"/>
      </w:rPr>
    </w:lvl>
    <w:lvl w:ilvl="7">
      <w:start w:val="1"/>
      <w:numFmt w:val="bullet"/>
      <w:lvlText w:val=""/>
      <w:lvlJc w:val="left"/>
      <w:pPr>
        <w:ind w:left="0" w:firstLine="0"/>
      </w:pPr>
      <w:rPr>
        <w:u w:val="none"/>
      </w:rPr>
    </w:lvl>
    <w:lvl w:ilvl="8">
      <w:start w:val="1"/>
      <w:numFmt w:val="bullet"/>
      <w:lvlText w:val=""/>
      <w:lvlJc w:val="left"/>
      <w:pPr>
        <w:ind w:left="0" w:firstLine="0"/>
      </w:pPr>
      <w:rPr>
        <w:u w:val="none"/>
      </w:rPr>
    </w:lvl>
  </w:abstractNum>
  <w:abstractNum w:abstractNumId="3" w15:restartNumberingAfterBreak="0">
    <w:nsid w:val="604B6920"/>
    <w:multiLevelType w:val="multilevel"/>
    <w:tmpl w:val="6F2EBFF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16cid:durableId="811873095">
    <w:abstractNumId w:val="0"/>
  </w:num>
  <w:num w:numId="2" w16cid:durableId="629867164">
    <w:abstractNumId w:val="2"/>
  </w:num>
  <w:num w:numId="3" w16cid:durableId="124857070">
    <w:abstractNumId w:val="1"/>
  </w:num>
  <w:num w:numId="4" w16cid:durableId="109321042">
    <w:abstractNumId w:val="3"/>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Mauricio Hernandez Beltran">
    <w15:presenceInfo w15:providerId="Windows Live" w15:userId="96f87398fcacbe3f"/>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A6ECE"/>
    <w:rsid w:val="00002825"/>
    <w:rsid w:val="00027360"/>
    <w:rsid w:val="00072A43"/>
    <w:rsid w:val="000976D6"/>
    <w:rsid w:val="00106E21"/>
    <w:rsid w:val="001073D8"/>
    <w:rsid w:val="00185A56"/>
    <w:rsid w:val="00185C06"/>
    <w:rsid w:val="00190B89"/>
    <w:rsid w:val="001939A9"/>
    <w:rsid w:val="001D25AC"/>
    <w:rsid w:val="001F4475"/>
    <w:rsid w:val="00206427"/>
    <w:rsid w:val="002B0968"/>
    <w:rsid w:val="00326920"/>
    <w:rsid w:val="00415AAD"/>
    <w:rsid w:val="004465AC"/>
    <w:rsid w:val="004671D1"/>
    <w:rsid w:val="00474728"/>
    <w:rsid w:val="00555B1F"/>
    <w:rsid w:val="00581D52"/>
    <w:rsid w:val="00592B1A"/>
    <w:rsid w:val="0059672A"/>
    <w:rsid w:val="005B6A01"/>
    <w:rsid w:val="005D059B"/>
    <w:rsid w:val="005E278E"/>
    <w:rsid w:val="005E411A"/>
    <w:rsid w:val="00605D0D"/>
    <w:rsid w:val="006832F1"/>
    <w:rsid w:val="006C2576"/>
    <w:rsid w:val="006C4F75"/>
    <w:rsid w:val="00785293"/>
    <w:rsid w:val="0081129F"/>
    <w:rsid w:val="00813701"/>
    <w:rsid w:val="00846414"/>
    <w:rsid w:val="00862D62"/>
    <w:rsid w:val="00880968"/>
    <w:rsid w:val="00882648"/>
    <w:rsid w:val="008A7423"/>
    <w:rsid w:val="008E256C"/>
    <w:rsid w:val="008E409A"/>
    <w:rsid w:val="00982EAB"/>
    <w:rsid w:val="0098766B"/>
    <w:rsid w:val="009A6ECE"/>
    <w:rsid w:val="009E760B"/>
    <w:rsid w:val="00A00825"/>
    <w:rsid w:val="00A1028B"/>
    <w:rsid w:val="00A84D96"/>
    <w:rsid w:val="00A96C39"/>
    <w:rsid w:val="00AA0677"/>
    <w:rsid w:val="00B0116F"/>
    <w:rsid w:val="00B10C4A"/>
    <w:rsid w:val="00BA586E"/>
    <w:rsid w:val="00BE2015"/>
    <w:rsid w:val="00BE6466"/>
    <w:rsid w:val="00C11E5D"/>
    <w:rsid w:val="00C20EAC"/>
    <w:rsid w:val="00C32D2B"/>
    <w:rsid w:val="00CE38F0"/>
    <w:rsid w:val="00D24B09"/>
    <w:rsid w:val="00D72223"/>
    <w:rsid w:val="00DE64D9"/>
    <w:rsid w:val="00DE6E36"/>
    <w:rsid w:val="00E01746"/>
    <w:rsid w:val="00E14765"/>
    <w:rsid w:val="00E24863"/>
    <w:rsid w:val="00E40486"/>
    <w:rsid w:val="00E4200F"/>
    <w:rsid w:val="00EB405F"/>
    <w:rsid w:val="00EE6DD0"/>
    <w:rsid w:val="00F04E0F"/>
    <w:rsid w:val="00F25AA7"/>
    <w:rsid w:val="00F501E9"/>
    <w:rsid w:val="00F55694"/>
    <w:rsid w:val="00F927C0"/>
    <w:rsid w:val="00FB66DE"/>
    <w:rsid w:val="00FE1658"/>
    <w:rsid w:val="00FE7E1C"/>
    <w:rsid w:val="00FF35DC"/>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4BFEE07"/>
  <w15:docId w15:val="{1521D812-39FE-493D-9351-621AF4063C9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s-ES_tradnl" w:eastAsia="es-CO"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0116F"/>
  </w:style>
  <w:style w:type="paragraph" w:styleId="Ttulo1">
    <w:name w:val="heading 1"/>
    <w:basedOn w:val="Normal"/>
    <w:next w:val="Normal"/>
    <w:uiPriority w:val="9"/>
    <w:qFormat/>
    <w:pPr>
      <w:keepNext/>
      <w:keepLines/>
      <w:spacing w:before="360" w:after="80"/>
      <w:outlineLvl w:val="0"/>
    </w:pPr>
    <w:rPr>
      <w:rFonts w:ascii="Play" w:eastAsia="Play" w:hAnsi="Play" w:cs="Play"/>
      <w:color w:val="0F4761"/>
      <w:sz w:val="40"/>
      <w:szCs w:val="40"/>
    </w:rPr>
  </w:style>
  <w:style w:type="paragraph" w:styleId="Ttulo2">
    <w:name w:val="heading 2"/>
    <w:basedOn w:val="Normal"/>
    <w:next w:val="Normal"/>
    <w:uiPriority w:val="9"/>
    <w:unhideWhenUsed/>
    <w:qFormat/>
    <w:pPr>
      <w:keepNext/>
      <w:keepLines/>
      <w:spacing w:before="160" w:after="80"/>
      <w:outlineLvl w:val="1"/>
    </w:pPr>
    <w:rPr>
      <w:rFonts w:ascii="Play" w:eastAsia="Play" w:hAnsi="Play" w:cs="Play"/>
      <w:color w:val="0F4761"/>
      <w:sz w:val="32"/>
      <w:szCs w:val="32"/>
    </w:rPr>
  </w:style>
  <w:style w:type="paragraph" w:styleId="Ttulo3">
    <w:name w:val="heading 3"/>
    <w:basedOn w:val="Normal"/>
    <w:next w:val="Normal"/>
    <w:uiPriority w:val="9"/>
    <w:semiHidden/>
    <w:unhideWhenUsed/>
    <w:qFormat/>
    <w:pPr>
      <w:keepNext/>
      <w:keepLines/>
      <w:spacing w:before="160" w:after="80"/>
      <w:outlineLvl w:val="2"/>
    </w:pPr>
    <w:rPr>
      <w:color w:val="0F4761"/>
      <w:sz w:val="28"/>
      <w:szCs w:val="28"/>
    </w:rPr>
  </w:style>
  <w:style w:type="paragraph" w:styleId="Ttulo4">
    <w:name w:val="heading 4"/>
    <w:basedOn w:val="Normal"/>
    <w:next w:val="Normal"/>
    <w:uiPriority w:val="9"/>
    <w:semiHidden/>
    <w:unhideWhenUsed/>
    <w:qFormat/>
    <w:pPr>
      <w:keepNext/>
      <w:keepLines/>
      <w:spacing w:before="80" w:after="40"/>
      <w:outlineLvl w:val="3"/>
    </w:pPr>
    <w:rPr>
      <w:i/>
      <w:iCs/>
      <w:color w:val="0F4761"/>
    </w:rPr>
  </w:style>
  <w:style w:type="paragraph" w:styleId="Ttulo5">
    <w:name w:val="heading 5"/>
    <w:basedOn w:val="Normal"/>
    <w:next w:val="Normal"/>
    <w:uiPriority w:val="9"/>
    <w:semiHidden/>
    <w:unhideWhenUsed/>
    <w:qFormat/>
    <w:pPr>
      <w:keepNext/>
      <w:keepLines/>
      <w:spacing w:before="80" w:after="40"/>
      <w:outlineLvl w:val="4"/>
    </w:pPr>
    <w:rPr>
      <w:color w:val="0F4761"/>
    </w:rPr>
  </w:style>
  <w:style w:type="paragraph" w:styleId="Ttulo6">
    <w:name w:val="heading 6"/>
    <w:basedOn w:val="Normal"/>
    <w:next w:val="Normal"/>
    <w:uiPriority w:val="9"/>
    <w:semiHidden/>
    <w:unhideWhenUsed/>
    <w:qFormat/>
    <w:pPr>
      <w:keepNext/>
      <w:keepLines/>
      <w:spacing w:before="40"/>
      <w:outlineLvl w:val="5"/>
    </w:pPr>
    <w:rPr>
      <w:i/>
      <w:iCs/>
      <w:color w:val="595959"/>
    </w:rPr>
  </w:style>
  <w:style w:type="paragraph" w:styleId="Ttulo7">
    <w:name w:val="heading 7"/>
    <w:basedOn w:val="Normal"/>
    <w:next w:val="Normal"/>
    <w:link w:val="Ttulo7Car"/>
    <w:uiPriority w:val="9"/>
    <w:qFormat/>
    <w:pPr>
      <w:keepNext/>
      <w:keepLines/>
      <w:spacing w:before="40"/>
      <w:outlineLvl w:val="6"/>
    </w:pPr>
    <w:rPr>
      <w:rFonts w:eastAsia="SimSun" w:cs="SimSun"/>
      <w:color w:val="595959"/>
    </w:rPr>
  </w:style>
  <w:style w:type="paragraph" w:styleId="Ttulo8">
    <w:name w:val="heading 8"/>
    <w:basedOn w:val="Normal"/>
    <w:next w:val="Normal"/>
    <w:link w:val="Ttulo8Car"/>
    <w:uiPriority w:val="9"/>
    <w:qFormat/>
    <w:pPr>
      <w:keepNext/>
      <w:keepLines/>
      <w:outlineLvl w:val="7"/>
    </w:pPr>
    <w:rPr>
      <w:rFonts w:eastAsia="SimSun" w:cs="SimSun"/>
      <w:i/>
      <w:iCs/>
      <w:color w:val="272727"/>
    </w:rPr>
  </w:style>
  <w:style w:type="paragraph" w:styleId="Ttulo9">
    <w:name w:val="heading 9"/>
    <w:basedOn w:val="Normal"/>
    <w:next w:val="Normal"/>
    <w:link w:val="Ttulo9Car"/>
    <w:uiPriority w:val="9"/>
    <w:qFormat/>
    <w:pPr>
      <w:keepNext/>
      <w:keepLines/>
      <w:outlineLvl w:val="8"/>
    </w:pPr>
    <w:rPr>
      <w:rFonts w:eastAsia="SimSun" w:cs="SimSun"/>
      <w:color w:val="272727"/>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uiPriority w:val="10"/>
    <w:qFormat/>
    <w:pPr>
      <w:spacing w:after="80"/>
    </w:pPr>
    <w:rPr>
      <w:rFonts w:ascii="Play" w:eastAsia="Play" w:hAnsi="Play" w:cs="Play"/>
      <w:sz w:val="56"/>
      <w:szCs w:val="56"/>
    </w:rPr>
  </w:style>
  <w:style w:type="table" w:customStyle="1" w:styleId="TableNormal0">
    <w:name w:val="TableNormal"/>
    <w:tblPr>
      <w:tblCellMar>
        <w:top w:w="100" w:type="dxa"/>
        <w:left w:w="100" w:type="dxa"/>
        <w:bottom w:w="100" w:type="dxa"/>
        <w:right w:w="100" w:type="dxa"/>
      </w:tblCellMar>
    </w:tblPr>
  </w:style>
  <w:style w:type="table" w:customStyle="1" w:styleId="TableNormal1">
    <w:name w:val="TableNormal"/>
    <w:tblPr>
      <w:tblCellMar>
        <w:top w:w="100" w:type="dxa"/>
        <w:left w:w="100" w:type="dxa"/>
        <w:bottom w:w="100" w:type="dxa"/>
        <w:right w:w="100" w:type="dxa"/>
      </w:tblCellMar>
    </w:tblPr>
  </w:style>
  <w:style w:type="table" w:customStyle="1" w:styleId="TableNormal2">
    <w:name w:val="TableNormal"/>
    <w:tblPr>
      <w:tblCellMar>
        <w:top w:w="100" w:type="dxa"/>
        <w:left w:w="100" w:type="dxa"/>
        <w:bottom w:w="100" w:type="dxa"/>
        <w:right w:w="100" w:type="dxa"/>
      </w:tblCellMar>
    </w:tblPr>
  </w:style>
  <w:style w:type="character" w:customStyle="1" w:styleId="Ttulo1Car">
    <w:name w:val="Título 1 Car"/>
    <w:basedOn w:val="Fuentedeprrafopredeter"/>
    <w:rPr>
      <w:rFonts w:ascii="Aptos Display" w:eastAsia="SimSun" w:hAnsi="Aptos Display" w:cs="SimSun"/>
      <w:color w:val="0F4761"/>
      <w:sz w:val="40"/>
      <w:szCs w:val="40"/>
    </w:rPr>
  </w:style>
  <w:style w:type="character" w:customStyle="1" w:styleId="Ttulo2Car">
    <w:name w:val="Título 2 Car"/>
    <w:basedOn w:val="Fuentedeprrafopredeter"/>
    <w:uiPriority w:val="9"/>
    <w:rPr>
      <w:rFonts w:ascii="Aptos Display" w:eastAsia="SimSun" w:hAnsi="Aptos Display" w:cs="SimSun"/>
      <w:color w:val="0F4761"/>
      <w:sz w:val="32"/>
      <w:szCs w:val="32"/>
    </w:rPr>
  </w:style>
  <w:style w:type="character" w:customStyle="1" w:styleId="Ttulo3Car">
    <w:name w:val="Título 3 Car"/>
    <w:basedOn w:val="Fuentedeprrafopredeter"/>
    <w:uiPriority w:val="9"/>
    <w:rPr>
      <w:rFonts w:eastAsia="SimSun" w:cs="SimSun"/>
      <w:color w:val="0F4761"/>
      <w:sz w:val="28"/>
      <w:szCs w:val="28"/>
    </w:rPr>
  </w:style>
  <w:style w:type="character" w:customStyle="1" w:styleId="Ttulo4Car">
    <w:name w:val="Título 4 Car"/>
    <w:basedOn w:val="Fuentedeprrafopredeter"/>
    <w:uiPriority w:val="9"/>
    <w:rPr>
      <w:rFonts w:eastAsia="SimSun" w:cs="SimSun"/>
      <w:i/>
      <w:iCs/>
      <w:color w:val="0F4761"/>
    </w:rPr>
  </w:style>
  <w:style w:type="character" w:customStyle="1" w:styleId="Ttulo5Car">
    <w:name w:val="Título 5 Car"/>
    <w:basedOn w:val="Fuentedeprrafopredeter"/>
    <w:uiPriority w:val="9"/>
    <w:rPr>
      <w:rFonts w:eastAsia="SimSun" w:cs="SimSun"/>
      <w:color w:val="0F4761"/>
    </w:rPr>
  </w:style>
  <w:style w:type="character" w:customStyle="1" w:styleId="Ttulo6Car">
    <w:name w:val="Título 6 Car"/>
    <w:basedOn w:val="Fuentedeprrafopredeter"/>
    <w:uiPriority w:val="9"/>
    <w:rPr>
      <w:rFonts w:eastAsia="SimSun" w:cs="SimSun"/>
      <w:i/>
      <w:iCs/>
      <w:color w:val="595959"/>
    </w:rPr>
  </w:style>
  <w:style w:type="character" w:customStyle="1" w:styleId="Ttulo7Car">
    <w:name w:val="Título 7 Car"/>
    <w:basedOn w:val="Fuentedeprrafopredeter"/>
    <w:link w:val="Ttulo7"/>
    <w:uiPriority w:val="9"/>
    <w:rPr>
      <w:rFonts w:eastAsia="SimSun" w:cs="SimSun"/>
      <w:color w:val="595959"/>
    </w:rPr>
  </w:style>
  <w:style w:type="character" w:customStyle="1" w:styleId="Ttulo8Car">
    <w:name w:val="Título 8 Car"/>
    <w:basedOn w:val="Fuentedeprrafopredeter"/>
    <w:link w:val="Ttulo8"/>
    <w:uiPriority w:val="9"/>
    <w:rPr>
      <w:rFonts w:eastAsia="SimSun" w:cs="SimSun"/>
      <w:i/>
      <w:iCs/>
      <w:color w:val="272727"/>
    </w:rPr>
  </w:style>
  <w:style w:type="character" w:customStyle="1" w:styleId="Ttulo9Car">
    <w:name w:val="Título 9 Car"/>
    <w:basedOn w:val="Fuentedeprrafopredeter"/>
    <w:link w:val="Ttulo9"/>
    <w:uiPriority w:val="9"/>
    <w:rPr>
      <w:rFonts w:eastAsia="SimSun" w:cs="SimSun"/>
      <w:color w:val="272727"/>
    </w:rPr>
  </w:style>
  <w:style w:type="character" w:customStyle="1" w:styleId="TtuloCar">
    <w:name w:val="Título Car"/>
    <w:basedOn w:val="Fuentedeprrafopredeter"/>
    <w:uiPriority w:val="10"/>
    <w:rPr>
      <w:rFonts w:ascii="Aptos Display" w:eastAsia="SimSun" w:hAnsi="Aptos Display" w:cs="SimSun"/>
      <w:spacing w:val="-10"/>
      <w:kern w:val="28"/>
      <w:sz w:val="56"/>
      <w:szCs w:val="56"/>
    </w:rPr>
  </w:style>
  <w:style w:type="character" w:customStyle="1" w:styleId="SubttuloCar">
    <w:name w:val="Subtítulo Car"/>
    <w:basedOn w:val="Fuentedeprrafopredeter"/>
    <w:uiPriority w:val="11"/>
    <w:rPr>
      <w:rFonts w:eastAsia="SimSun" w:cs="SimSun"/>
      <w:color w:val="595959"/>
      <w:spacing w:val="15"/>
      <w:sz w:val="28"/>
      <w:szCs w:val="28"/>
    </w:rPr>
  </w:style>
  <w:style w:type="paragraph" w:styleId="Cita">
    <w:name w:val="Quote"/>
    <w:basedOn w:val="Normal"/>
    <w:next w:val="Normal"/>
    <w:link w:val="CitaCar"/>
    <w:uiPriority w:val="29"/>
    <w:qFormat/>
    <w:pPr>
      <w:spacing w:before="160"/>
      <w:jc w:val="center"/>
    </w:pPr>
    <w:rPr>
      <w:i/>
      <w:iCs/>
      <w:color w:val="404040"/>
    </w:rPr>
  </w:style>
  <w:style w:type="character" w:customStyle="1" w:styleId="CitaCar">
    <w:name w:val="Cita Car"/>
    <w:basedOn w:val="Fuentedeprrafopredeter"/>
    <w:link w:val="Cita"/>
    <w:uiPriority w:val="29"/>
    <w:rPr>
      <w:i/>
      <w:iCs/>
      <w:color w:val="404040"/>
    </w:rPr>
  </w:style>
  <w:style w:type="paragraph" w:styleId="Prrafodelista">
    <w:name w:val="List Paragraph"/>
    <w:basedOn w:val="Normal"/>
    <w:link w:val="PrrafodelistaCar"/>
    <w:uiPriority w:val="34"/>
    <w:qFormat/>
    <w:pPr>
      <w:ind w:left="720"/>
      <w:contextualSpacing/>
    </w:pPr>
  </w:style>
  <w:style w:type="character" w:styleId="nfasisintenso">
    <w:name w:val="Intense Emphasis"/>
    <w:basedOn w:val="Fuentedeprrafopredeter"/>
    <w:uiPriority w:val="21"/>
    <w:qFormat/>
    <w:rPr>
      <w:i/>
      <w:iCs/>
      <w:color w:val="0F4761"/>
    </w:rPr>
  </w:style>
  <w:style w:type="paragraph" w:styleId="Citadestacada">
    <w:name w:val="Intense Quote"/>
    <w:basedOn w:val="Normal"/>
    <w:next w:val="Normal"/>
    <w:link w:val="CitadestacadaCar"/>
    <w:uiPriority w:val="30"/>
    <w:qFormat/>
    <w:pPr>
      <w:pBdr>
        <w:top w:val="single" w:sz="4" w:space="10" w:color="0F4761"/>
        <w:bottom w:val="single" w:sz="4" w:space="10" w:color="0F4761"/>
      </w:pBdr>
      <w:spacing w:before="360" w:after="360"/>
      <w:ind w:left="864" w:right="864"/>
      <w:jc w:val="center"/>
    </w:pPr>
    <w:rPr>
      <w:i/>
      <w:iCs/>
      <w:color w:val="0F4761"/>
    </w:rPr>
  </w:style>
  <w:style w:type="character" w:customStyle="1" w:styleId="CitadestacadaCar">
    <w:name w:val="Cita destacada Car"/>
    <w:basedOn w:val="Fuentedeprrafopredeter"/>
    <w:link w:val="Citadestacada"/>
    <w:uiPriority w:val="30"/>
    <w:rPr>
      <w:i/>
      <w:iCs/>
      <w:color w:val="0F4761"/>
    </w:rPr>
  </w:style>
  <w:style w:type="character" w:styleId="Referenciaintensa">
    <w:name w:val="Intense Reference"/>
    <w:basedOn w:val="Fuentedeprrafopredeter"/>
    <w:uiPriority w:val="32"/>
    <w:qFormat/>
    <w:rPr>
      <w:b/>
      <w:bCs/>
      <w:smallCaps/>
      <w:color w:val="0F4761"/>
      <w:spacing w:val="5"/>
    </w:rPr>
  </w:style>
  <w:style w:type="paragraph" w:styleId="Encabezado">
    <w:name w:val="header"/>
    <w:basedOn w:val="Normal"/>
    <w:link w:val="EncabezadoCar"/>
    <w:uiPriority w:val="99"/>
    <w:pPr>
      <w:tabs>
        <w:tab w:val="center" w:pos="4419"/>
        <w:tab w:val="right" w:pos="8838"/>
      </w:tabs>
    </w:pPr>
  </w:style>
  <w:style w:type="character" w:customStyle="1" w:styleId="EncabezadoCar">
    <w:name w:val="Encabezado Car"/>
    <w:basedOn w:val="Fuentedeprrafopredeter"/>
    <w:link w:val="Encabezado"/>
    <w:uiPriority w:val="99"/>
  </w:style>
  <w:style w:type="paragraph" w:styleId="Piedepgina">
    <w:name w:val="footer"/>
    <w:basedOn w:val="Normal"/>
    <w:link w:val="PiedepginaCar"/>
    <w:pPr>
      <w:tabs>
        <w:tab w:val="center" w:pos="4419"/>
        <w:tab w:val="right" w:pos="8838"/>
      </w:tabs>
    </w:pPr>
  </w:style>
  <w:style w:type="character" w:customStyle="1" w:styleId="PiedepginaCar">
    <w:name w:val="Pie de página Car"/>
    <w:basedOn w:val="Fuentedeprrafopredeter"/>
    <w:link w:val="Piedepgina"/>
  </w:style>
  <w:style w:type="character" w:styleId="Hipervnculo">
    <w:name w:val="Hyperlink"/>
    <w:basedOn w:val="Fuentedeprrafopredeter"/>
    <w:rPr>
      <w:color w:val="0000FF"/>
      <w:u w:val="single"/>
    </w:rPr>
  </w:style>
  <w:style w:type="character" w:styleId="Nmerodepgina">
    <w:name w:val="page number"/>
    <w:basedOn w:val="Fuentedeprrafopredeter"/>
    <w:uiPriority w:val="99"/>
  </w:style>
  <w:style w:type="paragraph" w:styleId="NormalWeb">
    <w:name w:val="Normal (Web)"/>
    <w:basedOn w:val="Normal"/>
    <w:link w:val="NormalWebCar"/>
    <w:uiPriority w:val="99"/>
    <w:qFormat/>
    <w:pPr>
      <w:spacing w:before="100" w:beforeAutospacing="1" w:after="100" w:afterAutospacing="1"/>
    </w:pPr>
    <w:rPr>
      <w:sz w:val="24"/>
      <w:szCs w:val="24"/>
      <w:lang w:val="es-CO"/>
    </w:rPr>
  </w:style>
  <w:style w:type="paragraph" w:styleId="Textonotapie">
    <w:name w:val="footnote text"/>
    <w:basedOn w:val="Normal"/>
    <w:link w:val="TextonotapieCar"/>
    <w:uiPriority w:val="99"/>
    <w:qFormat/>
  </w:style>
  <w:style w:type="character" w:customStyle="1" w:styleId="TextonotapieCar">
    <w:name w:val="Texto nota pie Car"/>
    <w:basedOn w:val="Fuentedeprrafopredeter"/>
    <w:link w:val="Textonotapie"/>
    <w:uiPriority w:val="99"/>
    <w:qFormat/>
    <w:rPr>
      <w:rFonts w:ascii="Times New Roman" w:eastAsia="Times New Roman" w:hAnsi="Times New Roman" w:cs="Times New Roman"/>
      <w:kern w:val="0"/>
      <w:sz w:val="20"/>
      <w:szCs w:val="20"/>
      <w:lang w:val="es-ES_tradnl" w:eastAsia="es-ES"/>
    </w:rPr>
  </w:style>
  <w:style w:type="character" w:styleId="Refdenotaalpie">
    <w:name w:val="footnote reference"/>
    <w:basedOn w:val="Fuentedeprrafopredeter"/>
    <w:link w:val="Piedepagina"/>
    <w:uiPriority w:val="99"/>
    <w:qFormat/>
    <w:rPr>
      <w:vertAlign w:val="superscript"/>
    </w:rPr>
  </w:style>
  <w:style w:type="paragraph" w:customStyle="1" w:styleId="xmsonormal">
    <w:name w:val="x_msonormal"/>
    <w:basedOn w:val="Normal"/>
    <w:pPr>
      <w:spacing w:before="100" w:beforeAutospacing="1" w:after="100" w:afterAutospacing="1"/>
    </w:pPr>
    <w:rPr>
      <w:sz w:val="24"/>
      <w:szCs w:val="24"/>
      <w:lang w:val="es-CO"/>
    </w:rPr>
  </w:style>
  <w:style w:type="paragraph" w:customStyle="1" w:styleId="paragraph">
    <w:name w:val="paragraph"/>
    <w:basedOn w:val="Normal"/>
    <w:pPr>
      <w:spacing w:before="100" w:beforeAutospacing="1" w:after="100" w:afterAutospacing="1"/>
    </w:pPr>
    <w:rPr>
      <w:sz w:val="24"/>
      <w:szCs w:val="24"/>
      <w:lang w:val="es-CO"/>
    </w:rPr>
  </w:style>
  <w:style w:type="character" w:customStyle="1" w:styleId="normaltextrun">
    <w:name w:val="normaltextrun"/>
    <w:basedOn w:val="Fuentedeprrafopredeter"/>
  </w:style>
  <w:style w:type="paragraph" w:customStyle="1" w:styleId="xxxmsonormal">
    <w:name w:val="x_xxmsonormal"/>
    <w:basedOn w:val="Normal"/>
    <w:pPr>
      <w:spacing w:before="100" w:beforeAutospacing="1" w:after="100" w:afterAutospacing="1"/>
    </w:pPr>
    <w:rPr>
      <w:sz w:val="24"/>
      <w:szCs w:val="24"/>
      <w:lang w:val="es-CO"/>
    </w:rPr>
  </w:style>
  <w:style w:type="character" w:customStyle="1" w:styleId="xcontentpasted0">
    <w:name w:val="x_contentpasted0"/>
    <w:basedOn w:val="Fuentedeprrafopredeter"/>
  </w:style>
  <w:style w:type="paragraph" w:customStyle="1" w:styleId="Piedepagina">
    <w:name w:val="Pie de pagina"/>
    <w:basedOn w:val="Normal"/>
    <w:link w:val="Refdenotaalpie"/>
    <w:uiPriority w:val="99"/>
    <w:pPr>
      <w:spacing w:after="160" w:line="240" w:lineRule="exact"/>
    </w:pPr>
    <w:rPr>
      <w:rFonts w:ascii="Aptos" w:eastAsia="Aptos" w:hAnsi="Aptos" w:cs="SimSun"/>
      <w:kern w:val="2"/>
      <w:sz w:val="24"/>
      <w:szCs w:val="24"/>
      <w:vertAlign w:val="superscript"/>
      <w:lang w:val="es-CO" w:eastAsia="en-US"/>
    </w:rPr>
  </w:style>
  <w:style w:type="character" w:customStyle="1" w:styleId="PrrafodelistaCar">
    <w:name w:val="Párrafo de lista Car"/>
    <w:link w:val="Prrafodelista"/>
    <w:uiPriority w:val="34"/>
    <w:qFormat/>
  </w:style>
  <w:style w:type="character" w:customStyle="1" w:styleId="NormalWebCar">
    <w:name w:val="Normal (Web) Car"/>
    <w:link w:val="NormalWeb"/>
    <w:uiPriority w:val="99"/>
    <w:rPr>
      <w:rFonts w:ascii="Times New Roman" w:eastAsia="Times New Roman" w:hAnsi="Times New Roman" w:cs="Times New Roman"/>
      <w:kern w:val="0"/>
      <w:lang w:eastAsia="es-CO"/>
    </w:rPr>
  </w:style>
  <w:style w:type="character" w:customStyle="1" w:styleId="Mencinsinresolver1">
    <w:name w:val="Mención sin resolver1"/>
    <w:basedOn w:val="Fuentedeprrafopredeter"/>
    <w:uiPriority w:val="99"/>
    <w:rPr>
      <w:color w:val="605E5C"/>
      <w:shd w:val="clear" w:color="auto" w:fill="E1DFDD"/>
    </w:rPr>
  </w:style>
  <w:style w:type="character" w:styleId="Refdecomentario">
    <w:name w:val="annotation reference"/>
    <w:basedOn w:val="Fuentedeprrafopredeter"/>
    <w:uiPriority w:val="99"/>
    <w:rPr>
      <w:sz w:val="16"/>
      <w:szCs w:val="16"/>
    </w:rPr>
  </w:style>
  <w:style w:type="paragraph" w:styleId="Textocomentario">
    <w:name w:val="annotation text"/>
    <w:basedOn w:val="Normal"/>
    <w:link w:val="TextocomentarioCar"/>
    <w:uiPriority w:val="99"/>
  </w:style>
  <w:style w:type="character" w:customStyle="1" w:styleId="TextocomentarioCar">
    <w:name w:val="Texto comentario Car"/>
    <w:basedOn w:val="Fuentedeprrafopredeter"/>
    <w:link w:val="Textocomentario"/>
    <w:uiPriority w:val="99"/>
    <w:rPr>
      <w:rFonts w:ascii="Times New Roman" w:eastAsia="Times New Roman" w:hAnsi="Times New Roman" w:cs="Times New Roman"/>
      <w:kern w:val="0"/>
      <w:sz w:val="20"/>
      <w:szCs w:val="20"/>
      <w:lang w:val="es-ES_tradnl" w:eastAsia="es-ES"/>
    </w:rPr>
  </w:style>
  <w:style w:type="paragraph" w:styleId="Asuntodelcomentario">
    <w:name w:val="annotation subject"/>
    <w:basedOn w:val="Textocomentario"/>
    <w:next w:val="Textocomentario"/>
    <w:link w:val="AsuntodelcomentarioCar"/>
    <w:uiPriority w:val="99"/>
    <w:rPr>
      <w:b/>
      <w:bCs/>
    </w:rPr>
  </w:style>
  <w:style w:type="character" w:customStyle="1" w:styleId="AsuntodelcomentarioCar">
    <w:name w:val="Asunto del comentario Car"/>
    <w:basedOn w:val="TextocomentarioCar"/>
    <w:link w:val="Asuntodelcomentario"/>
    <w:uiPriority w:val="99"/>
    <w:rPr>
      <w:rFonts w:ascii="Times New Roman" w:eastAsia="Times New Roman" w:hAnsi="Times New Roman" w:cs="Times New Roman"/>
      <w:b/>
      <w:bCs/>
      <w:kern w:val="0"/>
      <w:sz w:val="20"/>
      <w:szCs w:val="20"/>
      <w:lang w:val="es-ES_tradnl" w:eastAsia="es-ES"/>
    </w:rPr>
  </w:style>
  <w:style w:type="paragraph" w:customStyle="1" w:styleId="p1">
    <w:name w:val="p1"/>
    <w:basedOn w:val="Normal"/>
    <w:rPr>
      <w:rFonts w:ascii="Helvetica" w:eastAsia="SimSun" w:hAnsi="Helvetica"/>
      <w:sz w:val="18"/>
      <w:szCs w:val="18"/>
      <w:lang w:val="es-CO" w:eastAsia="es-ES"/>
    </w:rPr>
  </w:style>
  <w:style w:type="character" w:customStyle="1" w:styleId="s1">
    <w:name w:val="s1"/>
    <w:basedOn w:val="Fuentedeprrafopredeter"/>
    <w:rPr>
      <w:rFonts w:ascii="Helvetica" w:hAnsi="Helvetica" w:hint="default"/>
      <w:b w:val="0"/>
      <w:bCs w:val="0"/>
      <w:i w:val="0"/>
      <w:iCs w:val="0"/>
      <w:sz w:val="18"/>
      <w:szCs w:val="18"/>
    </w:rPr>
  </w:style>
  <w:style w:type="paragraph" w:styleId="Subttulo">
    <w:name w:val="Subtitle"/>
    <w:basedOn w:val="Normal"/>
    <w:next w:val="Normal"/>
    <w:uiPriority w:val="11"/>
    <w:qFormat/>
    <w:rPr>
      <w:color w:val="595959"/>
      <w:sz w:val="28"/>
      <w:szCs w:val="28"/>
    </w:rPr>
  </w:style>
  <w:style w:type="character" w:styleId="Fuerte">
    <w:name w:val="Strong"/>
    <w:basedOn w:val="Fuentedeprrafopredeter"/>
    <w:uiPriority w:val="22"/>
    <w:qFormat/>
    <w:rsid w:val="00D72223"/>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8" Type="http://schemas.openxmlformats.org/officeDocument/2006/relationships/comments" Target="comments.xml"/><Relationship Id="rId13"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microsoft.com/office/2018/08/relationships/commentsExtensible" Target="commentsExtensible.xml"/><Relationship Id="rId5" Type="http://schemas.openxmlformats.org/officeDocument/2006/relationships/webSettings" Target="webSettings.xml"/><Relationship Id="rId15" Type="http://schemas.microsoft.com/office/2011/relationships/people" Target="people.xml"/><Relationship Id="rId10" Type="http://schemas.microsoft.com/office/2016/09/relationships/commentsIds" Target="commentsIds.xml"/><Relationship Id="rId4" Type="http://schemas.openxmlformats.org/officeDocument/2006/relationships/settings" Target="settings.xml"/><Relationship Id="rId9" Type="http://schemas.microsoft.com/office/2011/relationships/commentsExtended" Target="commentsExtended.xml"/><Relationship Id="rId14"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2" Type="http://schemas.openxmlformats.org/officeDocument/2006/relationships/hyperlink" Target="http://www.habitatbogota.gov.co" TargetMode="External"/><Relationship Id="rId1" Type="http://schemas.openxmlformats.org/officeDocument/2006/relationships/image" Target="media/image2.png"/></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VKPm6z+X6WNRMrZmvxaD/d/Hkuw==">CgMxLjAyDmgua2tnMXZ0NHExZzh2Mg5oLjYzdTl4em1rcXp2czIOaC50emlpYjhtanU5NDgyDmgudm1xNWpsc3lsY2poMgloLjN6bnlzaDcyDmguMWpkODBleW14aTYxMg5oLjRtNHE2YjF0amd2ZzIOaC5sd3RiaHYzY2JzcDcyDmguZzBjazZtbnRtMXo5OAByITFQVUJlZlpXQVFGeVdOR0xlaDJ5RU1fSUZUam9rMFBueg==</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9</Pages>
  <Words>3652</Words>
  <Characters>20088</Characters>
  <Application>Microsoft Office Word</Application>
  <DocSecurity>0</DocSecurity>
  <Lines>167</Lines>
  <Paragraphs>47</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23693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Catalina Suarez Hoyos</dc:creator>
  <cp:lastModifiedBy>Mauricio Hernandez Beltran</cp:lastModifiedBy>
  <cp:revision>2</cp:revision>
  <dcterms:created xsi:type="dcterms:W3CDTF">2026-04-07T15:52:00Z</dcterms:created>
  <dcterms:modified xsi:type="dcterms:W3CDTF">2026-04-07T15:52:00Z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ICV">
    <vt:lpwstr>5adf42949af645d79242f751a7bb3dee</vt:lpwstr>
  </property>
</Properties>
</file>